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FF22" w14:textId="77777777" w:rsidR="009C78B2" w:rsidRDefault="009C78B2">
      <w:pPr>
        <w:pStyle w:val="Standarduser"/>
        <w:jc w:val="center"/>
      </w:pPr>
    </w:p>
    <w:p w14:paraId="3DD19CAE" w14:textId="77777777" w:rsidR="009C78B2" w:rsidRDefault="009C78B2">
      <w:pPr>
        <w:pStyle w:val="Standarduser"/>
        <w:ind w:hanging="284"/>
        <w:jc w:val="center"/>
        <w:rPr>
          <w:b/>
          <w:sz w:val="22"/>
          <w:szCs w:val="24"/>
        </w:rPr>
      </w:pPr>
    </w:p>
    <w:p w14:paraId="2D748319" w14:textId="77777777" w:rsidR="009C78B2" w:rsidRDefault="009C78B2">
      <w:pPr>
        <w:pStyle w:val="Standarduser"/>
        <w:ind w:hanging="284"/>
        <w:jc w:val="center"/>
        <w:rPr>
          <w:b/>
          <w:sz w:val="22"/>
          <w:szCs w:val="24"/>
        </w:rPr>
      </w:pPr>
    </w:p>
    <w:p w14:paraId="69D61F49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sz w:val="24"/>
          <w:szCs w:val="24"/>
        </w:rPr>
      </w:pPr>
    </w:p>
    <w:p w14:paraId="567B1F1E" w14:textId="77777777" w:rsidR="009C78B2" w:rsidRDefault="009D118F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Taxe d’apprentissage 2024</w:t>
      </w:r>
    </w:p>
    <w:p w14:paraId="4C659571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4"/>
          <w:szCs w:val="24"/>
          <w:u w:val="single"/>
        </w:rPr>
      </w:pPr>
    </w:p>
    <w:p w14:paraId="7022FE31" w14:textId="4F4812C6" w:rsidR="009C78B2" w:rsidRDefault="009D118F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Formulaire de demande d’habilitation </w:t>
      </w:r>
      <w:r w:rsidR="003150C6">
        <w:rPr>
          <w:b/>
          <w:bCs/>
          <w:sz w:val="24"/>
          <w:szCs w:val="24"/>
        </w:rPr>
        <w:t xml:space="preserve">à figurer </w:t>
      </w:r>
      <w:r>
        <w:rPr>
          <w:b/>
          <w:bCs/>
          <w:sz w:val="24"/>
          <w:szCs w:val="24"/>
        </w:rPr>
        <w:t>s</w:t>
      </w:r>
      <w:r w:rsidR="003150C6">
        <w:rPr>
          <w:b/>
          <w:bCs/>
          <w:sz w:val="24"/>
          <w:szCs w:val="24"/>
        </w:rPr>
        <w:t>ur les</w:t>
      </w:r>
      <w:r>
        <w:rPr>
          <w:b/>
          <w:bCs/>
          <w:sz w:val="24"/>
          <w:szCs w:val="24"/>
        </w:rPr>
        <w:t xml:space="preserve"> listes régionales des établissements et </w:t>
      </w:r>
      <w:r w:rsidR="003150C6">
        <w:rPr>
          <w:b/>
          <w:bCs/>
          <w:sz w:val="24"/>
          <w:szCs w:val="24"/>
        </w:rPr>
        <w:t xml:space="preserve">formations </w:t>
      </w:r>
      <w:r>
        <w:rPr>
          <w:b/>
          <w:bCs/>
          <w:sz w:val="24"/>
          <w:szCs w:val="24"/>
        </w:rPr>
        <w:t xml:space="preserve">habilités à percevoir </w:t>
      </w:r>
      <w:r w:rsidR="003150C6">
        <w:rPr>
          <w:b/>
          <w:bCs/>
          <w:sz w:val="24"/>
          <w:szCs w:val="24"/>
        </w:rPr>
        <w:t xml:space="preserve">le </w:t>
      </w:r>
      <w:r>
        <w:rPr>
          <w:b/>
          <w:bCs/>
          <w:sz w:val="24"/>
          <w:szCs w:val="24"/>
        </w:rPr>
        <w:t>so</w:t>
      </w:r>
      <w:r w:rsidR="003150C6">
        <w:rPr>
          <w:b/>
          <w:bCs/>
          <w:sz w:val="24"/>
          <w:szCs w:val="24"/>
        </w:rPr>
        <w:t xml:space="preserve">lde de </w:t>
      </w:r>
      <w:r>
        <w:rPr>
          <w:b/>
          <w:bCs/>
          <w:sz w:val="24"/>
          <w:szCs w:val="24"/>
        </w:rPr>
        <w:t>la taxe d’apprentissage</w:t>
      </w:r>
    </w:p>
    <w:p w14:paraId="097E9E75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</w:rPr>
      </w:pPr>
    </w:p>
    <w:p w14:paraId="59919D55" w14:textId="77777777" w:rsidR="009C78B2" w:rsidRDefault="009C78B2">
      <w:pPr>
        <w:pStyle w:val="Standarduser"/>
        <w:ind w:hanging="284"/>
        <w:jc w:val="center"/>
        <w:rPr>
          <w:b/>
          <w:sz w:val="22"/>
          <w:szCs w:val="24"/>
        </w:rPr>
      </w:pPr>
    </w:p>
    <w:p w14:paraId="025160BE" w14:textId="59414A0A" w:rsidR="009C78B2" w:rsidRPr="003150C6" w:rsidRDefault="000F6E42" w:rsidP="000F6E42">
      <w:pPr>
        <w:pStyle w:val="Standardus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Les établissements éligibles répondent et justifient les conditions cumulatives suivantes, veuillez </w:t>
      </w:r>
      <w:r w:rsidR="003150C6" w:rsidRPr="003150C6">
        <w:rPr>
          <w:b/>
          <w:sz w:val="24"/>
          <w:szCs w:val="24"/>
        </w:rPr>
        <w:t xml:space="preserve">lire et vérifier avant de remplir le </w:t>
      </w:r>
      <w:r w:rsidR="003150C6">
        <w:rPr>
          <w:b/>
          <w:sz w:val="24"/>
          <w:szCs w:val="24"/>
        </w:rPr>
        <w:t>f</w:t>
      </w:r>
      <w:r w:rsidR="003150C6" w:rsidRPr="003150C6">
        <w:rPr>
          <w:b/>
          <w:sz w:val="24"/>
          <w:szCs w:val="24"/>
        </w:rPr>
        <w:t>o</w:t>
      </w:r>
      <w:r w:rsidR="003150C6">
        <w:rPr>
          <w:b/>
          <w:sz w:val="24"/>
          <w:szCs w:val="24"/>
        </w:rPr>
        <w:t>rmulaire</w:t>
      </w:r>
      <w:r>
        <w:rPr>
          <w:b/>
          <w:sz w:val="24"/>
          <w:szCs w:val="24"/>
        </w:rPr>
        <w:t> :</w:t>
      </w:r>
    </w:p>
    <w:p w14:paraId="06F90A2E" w14:textId="77777777" w:rsidR="009C78B2" w:rsidRDefault="009D118F">
      <w:pPr>
        <w:pStyle w:val="Titre4"/>
        <w:jc w:val="both"/>
        <w:rPr>
          <w:rFonts w:ascii="Arial" w:hAnsi="Arial"/>
        </w:rPr>
      </w:pPr>
      <w:r>
        <w:rPr>
          <w:rFonts w:ascii="Arial" w:hAnsi="Arial"/>
        </w:rPr>
        <w:t>Conditions relatives aux formations dispensées (article L. 6241-4 du code du travail)</w:t>
      </w:r>
    </w:p>
    <w:p w14:paraId="430E8054" w14:textId="77777777" w:rsid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 xml:space="preserve">Les employeurs peuvent imputer sur le solde de la taxe d'apprentissage, à hauteur du montant mentionné au II de l'article </w:t>
      </w:r>
      <w:hyperlink r:id="rId7" w:tgtFrame="_blank" w:tooltip="Code du travail - art. L6241-2 (V)" w:history="1">
        <w:r w:rsidRPr="00296E12">
          <w:rPr>
            <w:rStyle w:val="Lienhypertexte"/>
            <w:lang w:bidi="hi-IN"/>
          </w:rPr>
          <w:t>L. 6241-2</w:t>
        </w:r>
      </w:hyperlink>
      <w:r w:rsidRPr="00296E12">
        <w:rPr>
          <w:lang w:bidi="hi-IN"/>
        </w:rPr>
        <w:t xml:space="preserve"> : </w:t>
      </w:r>
    </w:p>
    <w:p w14:paraId="4CA1F44A" w14:textId="1E5E0197" w:rsid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 xml:space="preserve">1° Les dépenses réellement exposées permettant de financer le développement des formations </w:t>
      </w:r>
      <w:r w:rsidRPr="00296E12">
        <w:rPr>
          <w:b/>
          <w:bCs/>
          <w:lang w:bidi="hi-IN"/>
        </w:rPr>
        <w:t>initiales technologiques et professionnelles, hors apprentissage, et l'insertion professionnelle</w:t>
      </w:r>
      <w:r w:rsidRPr="00296E12">
        <w:rPr>
          <w:lang w:bidi="hi-IN"/>
        </w:rPr>
        <w:t xml:space="preserve">, dont les frais de premier équipement, de renouvellement de matériel existant et d'équipement complémentaire, dans l'une des catégories d'établissements habilités mentionnées à l'article </w:t>
      </w:r>
      <w:hyperlink r:id="rId8" w:tgtFrame="_blank" w:tooltip="Code du travail - art. L6241-5 (V)" w:history="1">
        <w:r w:rsidRPr="00296E12">
          <w:rPr>
            <w:rStyle w:val="Lienhypertexte"/>
            <w:lang w:bidi="hi-IN"/>
          </w:rPr>
          <w:t>L. 6241-5</w:t>
        </w:r>
      </w:hyperlink>
      <w:r w:rsidRPr="00296E12">
        <w:rPr>
          <w:lang w:bidi="hi-IN"/>
        </w:rPr>
        <w:t xml:space="preserve">. </w:t>
      </w:r>
      <w:r w:rsidRPr="00296E12">
        <w:rPr>
          <w:lang w:bidi="hi-IN"/>
        </w:rPr>
        <w:br/>
      </w:r>
    </w:p>
    <w:p w14:paraId="11881D3E" w14:textId="77777777" w:rsid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 xml:space="preserve">Les formations technologiques et professionnelles mentionnées à l'alinéa précédent sont celles qui, dispensées dans le cadre de la formation initiale, remplissent les conditions suivantes : </w:t>
      </w:r>
      <w:r w:rsidRPr="00296E12">
        <w:rPr>
          <w:lang w:bidi="hi-IN"/>
        </w:rPr>
        <w:br/>
      </w:r>
    </w:p>
    <w:p w14:paraId="2A5A8723" w14:textId="77777777" w:rsid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 xml:space="preserve">a) Elles </w:t>
      </w:r>
      <w:r w:rsidRPr="00296E12">
        <w:rPr>
          <w:b/>
          <w:bCs/>
          <w:lang w:bidi="hi-IN"/>
        </w:rPr>
        <w:t>conduisent à des diplômes ou titres enregistrés au répertoire national des certifications professionnelles</w:t>
      </w:r>
      <w:r w:rsidRPr="00296E12">
        <w:rPr>
          <w:lang w:bidi="hi-IN"/>
        </w:rPr>
        <w:t xml:space="preserve"> et classés dans la nomenclature interministérielle des niveaux de formation ; </w:t>
      </w:r>
      <w:r w:rsidRPr="00296E12">
        <w:rPr>
          <w:lang w:bidi="hi-IN"/>
        </w:rPr>
        <w:br/>
      </w:r>
    </w:p>
    <w:p w14:paraId="2052C0A5" w14:textId="77777777" w:rsid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 xml:space="preserve">b) Elles </w:t>
      </w:r>
      <w:r w:rsidRPr="00296E12">
        <w:rPr>
          <w:b/>
          <w:bCs/>
          <w:lang w:bidi="hi-IN"/>
        </w:rPr>
        <w:t>sont dispensées à temps complet et de manière continue</w:t>
      </w:r>
      <w:r w:rsidRPr="00296E12">
        <w:rPr>
          <w:lang w:bidi="hi-IN"/>
        </w:rPr>
        <w:t xml:space="preserve">, ou selon un rythme approprié au sens des </w:t>
      </w:r>
      <w:hyperlink r:id="rId9" w:tgtFrame="_blank" w:tooltip="Code rural et de la pêche maritime - art. L813-9 (V)" w:history="1">
        <w:r w:rsidRPr="00296E12">
          <w:rPr>
            <w:rStyle w:val="Lienhypertexte"/>
            <w:lang w:bidi="hi-IN"/>
          </w:rPr>
          <w:t>dispositions de l'article L. 813-9 du code rural et de la pêche maritime</w:t>
        </w:r>
      </w:hyperlink>
      <w:r w:rsidRPr="00296E12">
        <w:rPr>
          <w:lang w:bidi="hi-IN"/>
        </w:rPr>
        <w:t xml:space="preserve"> ; </w:t>
      </w:r>
      <w:r w:rsidRPr="00296E12">
        <w:rPr>
          <w:lang w:bidi="hi-IN"/>
        </w:rPr>
        <w:br/>
      </w:r>
    </w:p>
    <w:p w14:paraId="5B853E32" w14:textId="6FE431AE" w:rsidR="00296E12" w:rsidRPr="00296E12" w:rsidRDefault="00296E12" w:rsidP="00296E12">
      <w:pPr>
        <w:pStyle w:val="Textbodyuser"/>
        <w:jc w:val="both"/>
        <w:rPr>
          <w:lang w:bidi="hi-IN"/>
        </w:rPr>
      </w:pPr>
      <w:r w:rsidRPr="00296E12">
        <w:rPr>
          <w:lang w:bidi="hi-IN"/>
        </w:rPr>
        <w:t>2° Les subventions versées à un centre de formation d'apprentis sous forme d'équipements et de matériels conformes aux besoins des formations dispensées.</w:t>
      </w:r>
    </w:p>
    <w:p w14:paraId="38DD79F1" w14:textId="3CABED7D" w:rsidR="009C78B2" w:rsidRDefault="00296E12" w:rsidP="00296E12">
      <w:pPr>
        <w:pStyle w:val="Textbodyuser"/>
        <w:jc w:val="both"/>
      </w:pPr>
      <w:r>
        <w:t>Pour ce dernier point, il n’y a pas besoin de remplir ce formulaire, cela se fait sans intermédiation.</w:t>
      </w:r>
    </w:p>
    <w:p w14:paraId="65C4BE54" w14:textId="77777777" w:rsidR="00296E12" w:rsidRDefault="00296E12" w:rsidP="00296E12">
      <w:pPr>
        <w:pStyle w:val="Standard"/>
        <w:tabs>
          <w:tab w:val="left" w:pos="10204"/>
        </w:tabs>
        <w:jc w:val="both"/>
        <w:textAlignment w:val="auto"/>
        <w:rPr>
          <w:rFonts w:ascii="Arial" w:eastAsia="Times New Roman" w:hAnsi="Arial" w:cs="Arial"/>
          <w:kern w:val="0"/>
          <w:sz w:val="20"/>
          <w:szCs w:val="20"/>
          <w:lang w:bidi="ar-SA"/>
        </w:rPr>
      </w:pPr>
    </w:p>
    <w:p w14:paraId="2DC32148" w14:textId="77777777" w:rsidR="009C78B2" w:rsidRDefault="009D118F">
      <w:pPr>
        <w:pStyle w:val="Titre4"/>
        <w:jc w:val="both"/>
        <w:rPr>
          <w:rFonts w:ascii="Arial" w:hAnsi="Arial"/>
        </w:rPr>
      </w:pPr>
      <w:r>
        <w:rPr>
          <w:rFonts w:ascii="Arial" w:hAnsi="Arial"/>
        </w:rPr>
        <w:t>Conditions relatives aux établissements (article L. 6241-5 du code du travail)</w:t>
      </w:r>
    </w:p>
    <w:p w14:paraId="31E08712" w14:textId="77777777" w:rsidR="009C78B2" w:rsidRDefault="009D118F">
      <w:pPr>
        <w:pStyle w:val="Textbodyuser"/>
        <w:jc w:val="both"/>
      </w:pPr>
      <w:r>
        <w:t>Sont habilités à bénéficier du solde de la taxe d'apprentissage :</w:t>
      </w:r>
    </w:p>
    <w:p w14:paraId="0DAA950F" w14:textId="77777777" w:rsidR="009C78B2" w:rsidRDefault="009D118F" w:rsidP="000F6E42">
      <w:pPr>
        <w:pStyle w:val="Textbodyuser"/>
        <w:numPr>
          <w:ilvl w:val="0"/>
          <w:numId w:val="8"/>
        </w:numPr>
        <w:spacing w:after="0" w:line="320" w:lineRule="atLeast"/>
        <w:jc w:val="both"/>
      </w:pPr>
      <w:r>
        <w:t>les établissements publics d'enseignement du second degré ;</w:t>
      </w:r>
    </w:p>
    <w:p w14:paraId="642519EB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d'enseignement privé du second degré gérés par des organismes à but non lucratif et qui remplissent l'une des conditions suivantes :</w:t>
      </w:r>
    </w:p>
    <w:p w14:paraId="57FA8438" w14:textId="469E2B4F" w:rsidR="003150C6" w:rsidRDefault="003150C6" w:rsidP="000F6E42">
      <w:pPr>
        <w:pStyle w:val="Standard"/>
        <w:suppressAutoHyphens w:val="0"/>
        <w:spacing w:line="320" w:lineRule="atLeast"/>
        <w:ind w:left="426"/>
        <w:jc w:val="both"/>
        <w:textAlignment w:val="auto"/>
      </w:pPr>
      <w:r>
        <w:rPr>
          <w:rFonts w:ascii="Segoe UI Symbol" w:eastAsia="MS Gothic" w:hAnsi="Segoe UI Symbol" w:cs="Segoe UI Symbol"/>
          <w:kern w:val="0"/>
          <w:sz w:val="20"/>
          <w:szCs w:val="20"/>
          <w:lang w:bidi="ar-SA"/>
        </w:rPr>
        <w:t>☐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a) </w:t>
      </w:r>
      <w:r w:rsidR="005842A9"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Être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lié à l'Etat par l'un des contrats d'association mentionnés à l'article </w:t>
      </w:r>
      <w:hyperlink r:id="rId10" w:history="1">
        <w:r>
          <w:rPr>
            <w:rStyle w:val="ListLabel11"/>
            <w:rFonts w:eastAsia="NSimSun"/>
            <w:sz w:val="20"/>
            <w:szCs w:val="20"/>
          </w:rPr>
          <w:t xml:space="preserve">L. 442-5 du code de l'éducation 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ou à l'article </w:t>
      </w:r>
      <w:hyperlink r:id="rId11" w:history="1">
        <w:r>
          <w:rPr>
            <w:rStyle w:val="ListLabel11"/>
            <w:rFonts w:eastAsia="NSimSun"/>
            <w:sz w:val="20"/>
            <w:szCs w:val="20"/>
          </w:rPr>
          <w:t xml:space="preserve">L. 813-1 du code rural et de la pêche maritime 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;</w:t>
      </w:r>
    </w:p>
    <w:p w14:paraId="40AF4956" w14:textId="687BE612" w:rsidR="003150C6" w:rsidRDefault="003150C6" w:rsidP="000F6E42">
      <w:pPr>
        <w:pStyle w:val="Standard"/>
        <w:suppressAutoHyphens w:val="0"/>
        <w:spacing w:line="320" w:lineRule="atLeast"/>
        <w:ind w:left="426"/>
        <w:jc w:val="both"/>
        <w:textAlignment w:val="auto"/>
      </w:pPr>
      <w:r>
        <w:rPr>
          <w:rFonts w:ascii="Segoe UI Symbol" w:eastAsia="MS Gothic" w:hAnsi="Segoe UI Symbol" w:cs="Segoe UI Symbol"/>
          <w:kern w:val="0"/>
          <w:sz w:val="20"/>
          <w:szCs w:val="20"/>
          <w:lang w:bidi="ar-SA"/>
        </w:rPr>
        <w:t>☐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b) </w:t>
      </w:r>
      <w:r w:rsidR="005842A9"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Être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habilité à recevoir des boursiers nationaux conformément aux procédures prévues à l'article </w:t>
      </w:r>
      <w:hyperlink r:id="rId12" w:history="1">
        <w:r>
          <w:rPr>
            <w:rStyle w:val="ListLabel11"/>
            <w:rFonts w:eastAsia="NSimSun"/>
            <w:sz w:val="20"/>
            <w:szCs w:val="20"/>
          </w:rPr>
          <w:t xml:space="preserve">L. 531-4 du code de l'éducation 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;</w:t>
      </w:r>
    </w:p>
    <w:p w14:paraId="1F9D3EC9" w14:textId="6055EB15" w:rsidR="003150C6" w:rsidRDefault="003150C6" w:rsidP="000F6E42">
      <w:pPr>
        <w:pStyle w:val="Standard"/>
        <w:suppressAutoHyphens w:val="0"/>
        <w:spacing w:line="320" w:lineRule="atLeast"/>
        <w:ind w:left="426"/>
        <w:jc w:val="both"/>
        <w:textAlignment w:val="auto"/>
      </w:pPr>
      <w:r>
        <w:rPr>
          <w:rFonts w:ascii="Segoe UI Symbol" w:eastAsia="MS Gothic" w:hAnsi="Segoe UI Symbol" w:cs="Segoe UI Symbol"/>
          <w:kern w:val="0"/>
          <w:sz w:val="20"/>
          <w:szCs w:val="20"/>
          <w:lang w:bidi="ar-SA"/>
        </w:rPr>
        <w:t>☐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c) </w:t>
      </w:r>
      <w:r w:rsidR="005842A9"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Être</w:t>
      </w:r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 xml:space="preserve"> reconnu conformément à la procédure prévue à l'article </w:t>
      </w:r>
      <w:hyperlink r:id="rId13" w:history="1">
        <w:r>
          <w:rPr>
            <w:rStyle w:val="ListLabel11"/>
            <w:rFonts w:eastAsia="NSimSun"/>
            <w:sz w:val="20"/>
            <w:szCs w:val="20"/>
          </w:rPr>
          <w:t xml:space="preserve">L. 443-2 </w:t>
        </w:r>
      </w:hyperlink>
      <w:r>
        <w:rPr>
          <w:rFonts w:ascii="Arial" w:eastAsia="Times New Roman" w:hAnsi="Arial" w:cs="Arial"/>
          <w:kern w:val="0"/>
          <w:sz w:val="20"/>
          <w:szCs w:val="20"/>
          <w:lang w:eastAsia="fr-FR" w:bidi="ar-SA"/>
        </w:rPr>
        <w:t>du même code.</w:t>
      </w:r>
    </w:p>
    <w:p w14:paraId="7E60326C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publics d'enseignement supérieur ou leurs groupements agissant pour leur compte ;</w:t>
      </w:r>
    </w:p>
    <w:p w14:paraId="4B7B4235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gérés par une chambre consulaire et les établissements d'enseignement supérieur consulaire mentionnés à l'article L. 711-17 du code de commerce ;</w:t>
      </w:r>
    </w:p>
    <w:p w14:paraId="52A7D786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lastRenderedPageBreak/>
        <w:t>les établissements privés relevant de l'enseignement supérieur gérés par des organismes à but non lucratif ou leurs groupements agissant pour leur compte ;</w:t>
      </w:r>
    </w:p>
    <w:p w14:paraId="0C041B94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publics ou privés dispensant des formations conduisant aux diplômes professionnels délivrés par les ministères chargés de la santé, des affaires sociales, de la jeunesse et des sports ;</w:t>
      </w:r>
    </w:p>
    <w:p w14:paraId="27B8897F" w14:textId="27D7F754" w:rsidR="003150C6" w:rsidRDefault="003150C6" w:rsidP="000F6E42">
      <w:pPr>
        <w:pStyle w:val="Textbodyuser"/>
        <w:numPr>
          <w:ilvl w:val="0"/>
          <w:numId w:val="5"/>
        </w:numPr>
        <w:spacing w:line="320" w:lineRule="atLeast"/>
        <w:jc w:val="both"/>
      </w:pPr>
      <w:r>
        <w:t xml:space="preserve">Les </w:t>
      </w:r>
      <w:r w:rsidR="005842A9">
        <w:t>établissements suivants :</w:t>
      </w:r>
      <w:r>
        <w:t xml:space="preserve"> </w:t>
      </w:r>
    </w:p>
    <w:p w14:paraId="6D7F955D" w14:textId="6CFA7E31" w:rsidR="003150C6" w:rsidRDefault="003150C6" w:rsidP="000F6E42">
      <w:pPr>
        <w:pStyle w:val="Textbodyuser"/>
        <w:spacing w:line="320" w:lineRule="atLeast"/>
        <w:ind w:left="707"/>
        <w:jc w:val="both"/>
      </w:pPr>
      <w:r>
        <w:rPr>
          <w:rFonts w:ascii="Segoe UI Symbol" w:hAnsi="Segoe UI Symbol" w:cs="Segoe UI Symbol"/>
        </w:rPr>
        <w:t>☐</w:t>
      </w:r>
      <w:r>
        <w:t>7a : Ecole de la deuxième chance</w:t>
      </w:r>
      <w:r w:rsidR="005842A9">
        <w:t>,</w:t>
      </w:r>
      <w:r w:rsidR="005842A9" w:rsidRPr="005842A9">
        <w:t xml:space="preserve"> </w:t>
      </w:r>
      <w:r w:rsidR="005842A9">
        <w:t>mentionnées à l'article L. 214-14 du code de l'éducation</w:t>
      </w:r>
    </w:p>
    <w:p w14:paraId="529214E2" w14:textId="0FADFED9" w:rsidR="003150C6" w:rsidRDefault="003150C6" w:rsidP="000F6E42">
      <w:pPr>
        <w:pStyle w:val="Textbodyuser"/>
        <w:spacing w:line="320" w:lineRule="atLeast"/>
        <w:ind w:left="707"/>
        <w:jc w:val="both"/>
      </w:pPr>
      <w:r>
        <w:rPr>
          <w:rFonts w:ascii="Segoe UI Symbol" w:hAnsi="Segoe UI Symbol" w:cs="Segoe UI Symbol"/>
        </w:rPr>
        <w:t>☐</w:t>
      </w:r>
      <w:r>
        <w:t>7b : les centres de formation gérés et administrés par l’établissement public d’insertion de la défense</w:t>
      </w:r>
      <w:r w:rsidR="005842A9">
        <w:t>, mentionnés à l'article L. 130-1 du code du service national</w:t>
      </w:r>
    </w:p>
    <w:p w14:paraId="2FAF4DAE" w14:textId="3C293C23" w:rsidR="003150C6" w:rsidRDefault="003150C6" w:rsidP="000F6E42">
      <w:pPr>
        <w:pStyle w:val="Textbodyuser"/>
        <w:spacing w:after="0" w:line="320" w:lineRule="atLeast"/>
        <w:ind w:left="707"/>
        <w:jc w:val="both"/>
      </w:pPr>
      <w:r>
        <w:rPr>
          <w:rFonts w:ascii="Segoe UI Symbol" w:hAnsi="Segoe UI Symbol" w:cs="Segoe UI Symbol"/>
        </w:rPr>
        <w:t>☐</w:t>
      </w:r>
      <w:r>
        <w:t>7c : Les établissements à but non lucratif concourant, par des actions de formation professionnelle, à offrir aux jeunes une nouvelle chance d’accès à la qualification</w:t>
      </w:r>
      <w:r w:rsidR="005842A9">
        <w:t> ;</w:t>
      </w:r>
    </w:p>
    <w:p w14:paraId="6F7AAF41" w14:textId="33B5475F" w:rsidR="005842A9" w:rsidRPr="000F6E42" w:rsidRDefault="005842A9" w:rsidP="000F6E42">
      <w:pPr>
        <w:pStyle w:val="Textbodyuser"/>
        <w:numPr>
          <w:ilvl w:val="0"/>
          <w:numId w:val="5"/>
        </w:numPr>
        <w:spacing w:line="320" w:lineRule="atLeast"/>
        <w:jc w:val="both"/>
      </w:pPr>
      <w:r w:rsidRPr="000F6E42">
        <w:t>Les établissements ou services</w:t>
      </w:r>
      <w:r w:rsidR="000F6E42" w:rsidRPr="000F6E42">
        <w:t xml:space="preserve"> suivants : </w:t>
      </w:r>
      <w:r w:rsidRPr="000F6E42">
        <w:t xml:space="preserve"> </w:t>
      </w:r>
    </w:p>
    <w:p w14:paraId="50A235C4" w14:textId="46C60AA3" w:rsidR="005842A9" w:rsidRDefault="005842A9" w:rsidP="000F6E42">
      <w:pPr>
        <w:pStyle w:val="Textbodyuser"/>
        <w:spacing w:line="320" w:lineRule="atLeast"/>
        <w:ind w:left="707"/>
        <w:jc w:val="both"/>
      </w:pPr>
      <w:r>
        <w:rPr>
          <w:rFonts w:ascii="Segoe UI Symbol" w:hAnsi="Segoe UI Symbol" w:cs="Segoe UI Symbol"/>
        </w:rPr>
        <w:t>☐</w:t>
      </w:r>
      <w:r>
        <w:t>8a : Les établissements ou services d'enseignement qui assurent, à titre principal, une éducation adaptée et un accompagnement social ou médico-social aux mineurs ou jeunes adultes handicapés ou présentant des difficultés d'adaptatio</w:t>
      </w:r>
      <w:r w:rsidR="003600A4">
        <w:t>n</w:t>
      </w:r>
      <w:r w:rsidR="000F6E42">
        <w:t>,</w:t>
      </w:r>
      <w:r>
        <w:t xml:space="preserve"> mentionnés au 2° du I de l'article L. 312-1 du code de l'action sociale et des familles,</w:t>
      </w:r>
    </w:p>
    <w:p w14:paraId="44100814" w14:textId="79F5826E" w:rsidR="005842A9" w:rsidRDefault="005842A9" w:rsidP="000F6E42">
      <w:pPr>
        <w:pStyle w:val="Textbodyuser"/>
        <w:spacing w:after="0" w:line="320" w:lineRule="atLeast"/>
        <w:ind w:left="707"/>
        <w:jc w:val="both"/>
      </w:pPr>
      <w:r>
        <w:rPr>
          <w:rFonts w:ascii="Segoe UI Symbol" w:hAnsi="Segoe UI Symbol" w:cs="Segoe UI Symbol"/>
        </w:rPr>
        <w:t>☐</w:t>
      </w:r>
      <w:r>
        <w:t>8b : les établissements délivrant l'enseignement adapté prévu au premier alinéa de l'article L. 332-4 du code de l'éducation</w:t>
      </w:r>
    </w:p>
    <w:p w14:paraId="6927D410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ou services mentionnés au 5° du I de l'article L. 312-1 du code de l'action sociale et des familles ;</w:t>
      </w:r>
    </w:p>
    <w:p w14:paraId="37FF5735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établissements ou services à caractère expérimental accueillant des jeunes handicapés ou présentant des difficultés d'adaptation mentionnés au 12° du I du même article L. 312-1 ;</w:t>
      </w:r>
    </w:p>
    <w:p w14:paraId="59C16D96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organismes participant au service public de l'orientation tout au long de la vie, dont la liste est établie par décision du président du conseil régional ;</w:t>
      </w:r>
    </w:p>
    <w:p w14:paraId="6C95EB75" w14:textId="77777777" w:rsidR="009C78B2" w:rsidRDefault="009D118F" w:rsidP="000F6E42">
      <w:pPr>
        <w:pStyle w:val="Textbodyuser"/>
        <w:numPr>
          <w:ilvl w:val="0"/>
          <w:numId w:val="5"/>
        </w:numPr>
        <w:spacing w:after="0" w:line="320" w:lineRule="atLeast"/>
        <w:jc w:val="both"/>
      </w:pPr>
      <w:r>
        <w:t>les écoles de production mentionnées à l'article L. 443-6 du code de l'éducation ;</w:t>
      </w:r>
    </w:p>
    <w:p w14:paraId="4E76CAC9" w14:textId="77777777" w:rsidR="009C78B2" w:rsidRDefault="009D118F" w:rsidP="000F6E42">
      <w:pPr>
        <w:pStyle w:val="Textbodyuser"/>
        <w:numPr>
          <w:ilvl w:val="0"/>
          <w:numId w:val="5"/>
        </w:numPr>
        <w:spacing w:line="320" w:lineRule="atLeast"/>
        <w:jc w:val="both"/>
      </w:pPr>
      <w:r>
        <w:t xml:space="preserve">les organismes figurant sur une liste régionale établie par arrêté des ministres chargés de l'éducation nationale et de la formation professionnelle, agissant </w:t>
      </w:r>
      <w:proofErr w:type="gramStart"/>
      <w:r>
        <w:t>au</w:t>
      </w:r>
      <w:proofErr w:type="gramEnd"/>
      <w:r>
        <w:t xml:space="preserve"> plan national pour la promotion de la formation technologique et professionnelle initiale et des métiers. Cette liste est établie pour trois ans et les organismes y figurant justifient d'un niveau d'activité suffisant, déterminé par décret, pour prétendre continuer à y être inscrits. Le montant versé par les entreprises à ces organismes au titre du solde de la taxe d'apprentissage ne peut dépasser 30 % du montant dû.</w:t>
      </w:r>
    </w:p>
    <w:p w14:paraId="53289D4C" w14:textId="3FB2C973" w:rsidR="005842A9" w:rsidRPr="005842A9" w:rsidRDefault="009D118F" w:rsidP="000F6E42">
      <w:pPr>
        <w:pStyle w:val="Textbodyuser"/>
        <w:numPr>
          <w:ilvl w:val="0"/>
          <w:numId w:val="5"/>
        </w:numPr>
        <w:spacing w:line="320" w:lineRule="atLeast"/>
      </w:pPr>
      <w:proofErr w:type="gramStart"/>
      <w:r>
        <w:t>les</w:t>
      </w:r>
      <w:proofErr w:type="gramEnd"/>
      <w:r>
        <w:t xml:space="preserve"> établissements d'enseignement technique et préparatoire militaire</w:t>
      </w:r>
      <w:r w:rsidR="0086015E">
        <w:t>,</w:t>
      </w:r>
      <w:r>
        <w:t xml:space="preserve"> </w:t>
      </w:r>
      <w:r w:rsidR="005842A9" w:rsidRPr="005842A9">
        <w:t>mentionnés à l'</w:t>
      </w:r>
      <w:hyperlink r:id="rId14" w:tgtFrame="_blank" w:tooltip="Code de la défense. - art. L4153-1 (V)" w:history="1">
        <w:r w:rsidR="005842A9" w:rsidRPr="005842A9">
          <w:rPr>
            <w:rStyle w:val="Lienhypertexte"/>
          </w:rPr>
          <w:t>article L. 4153-1 du code de la défense</w:t>
        </w:r>
      </w:hyperlink>
    </w:p>
    <w:p w14:paraId="3E4E4E6C" w14:textId="582759B4" w:rsidR="009C78B2" w:rsidRDefault="009C78B2" w:rsidP="005842A9">
      <w:pPr>
        <w:pStyle w:val="Textbodyuser"/>
        <w:ind w:left="424"/>
        <w:jc w:val="both"/>
      </w:pPr>
    </w:p>
    <w:p w14:paraId="207A9534" w14:textId="77777777" w:rsidR="003150C6" w:rsidRDefault="003150C6" w:rsidP="003150C6">
      <w:pPr>
        <w:pStyle w:val="Standard"/>
        <w:textAlignment w:val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</w:pPr>
    </w:p>
    <w:p w14:paraId="690906DA" w14:textId="60E8F7DB" w:rsidR="003150C6" w:rsidRDefault="003150C6" w:rsidP="003150C6">
      <w:pPr>
        <w:pStyle w:val="Standard"/>
        <w:textAlignment w:val="auto"/>
      </w:pPr>
      <w:r>
        <w:rPr>
          <w:rFonts w:ascii="Arial" w:eastAsia="Times New Roman" w:hAnsi="Arial" w:cs="Arial"/>
          <w:b/>
          <w:color w:val="000000"/>
          <w:kern w:val="0"/>
          <w:sz w:val="20"/>
          <w:szCs w:val="20"/>
          <w:lang w:bidi="ar-SA"/>
        </w:rPr>
        <w:t>Cochez la case principale et selon le cas les sous-catégories ci-dessus correspondant à votre établissement et envoyez un document justificatif.</w:t>
      </w:r>
    </w:p>
    <w:p w14:paraId="5D23510F" w14:textId="77777777" w:rsidR="009C78B2" w:rsidRDefault="009C78B2">
      <w:pPr>
        <w:pStyle w:val="Textbodyuser"/>
        <w:jc w:val="both"/>
        <w:rPr>
          <w:b/>
          <w:bCs/>
        </w:rPr>
      </w:pPr>
    </w:p>
    <w:p w14:paraId="5443C66B" w14:textId="6F374DB8" w:rsidR="003150C6" w:rsidRDefault="003150C6" w:rsidP="003150C6">
      <w:pPr>
        <w:pStyle w:val="Standarduser"/>
        <w:ind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limite de dépôt des </w:t>
      </w:r>
      <w:r w:rsidRPr="00F873E6">
        <w:rPr>
          <w:b/>
          <w:sz w:val="24"/>
          <w:szCs w:val="24"/>
        </w:rPr>
        <w:t>dossiers</w:t>
      </w:r>
      <w:r w:rsidR="00B71F93">
        <w:rPr>
          <w:b/>
          <w:sz w:val="24"/>
          <w:szCs w:val="24"/>
        </w:rPr>
        <w:t xml:space="preserve"> sur </w:t>
      </w:r>
      <w:proofErr w:type="spellStart"/>
      <w:r w:rsidR="00B71F93">
        <w:rPr>
          <w:b/>
          <w:sz w:val="24"/>
          <w:szCs w:val="24"/>
        </w:rPr>
        <w:t>S</w:t>
      </w:r>
      <w:r w:rsidR="000F578E">
        <w:rPr>
          <w:b/>
          <w:sz w:val="24"/>
          <w:szCs w:val="24"/>
        </w:rPr>
        <w:t>OLT</w:t>
      </w:r>
      <w:r w:rsidR="00B71F93">
        <w:rPr>
          <w:b/>
          <w:sz w:val="24"/>
          <w:szCs w:val="24"/>
        </w:rPr>
        <w:t>éA</w:t>
      </w:r>
      <w:proofErr w:type="spellEnd"/>
      <w:r w:rsidRPr="00F873E6">
        <w:rPr>
          <w:b/>
          <w:sz w:val="24"/>
          <w:szCs w:val="24"/>
        </w:rPr>
        <w:t> : 1</w:t>
      </w:r>
      <w:r w:rsidR="00B71F93">
        <w:rPr>
          <w:b/>
          <w:sz w:val="24"/>
          <w:szCs w:val="24"/>
        </w:rPr>
        <w:t>7</w:t>
      </w:r>
      <w:r w:rsidRPr="00F873E6">
        <w:rPr>
          <w:b/>
          <w:sz w:val="24"/>
          <w:szCs w:val="24"/>
        </w:rPr>
        <w:t>/</w:t>
      </w:r>
      <w:r w:rsidR="00B71F93">
        <w:rPr>
          <w:b/>
          <w:sz w:val="24"/>
          <w:szCs w:val="24"/>
        </w:rPr>
        <w:t>01</w:t>
      </w:r>
      <w:r w:rsidRPr="00F873E6">
        <w:rPr>
          <w:b/>
          <w:sz w:val="24"/>
          <w:szCs w:val="24"/>
        </w:rPr>
        <w:t>/2025</w:t>
      </w:r>
    </w:p>
    <w:p w14:paraId="663DBBBD" w14:textId="12E25A0C" w:rsidR="00B71F93" w:rsidRPr="00F873E6" w:rsidRDefault="00B71F93" w:rsidP="003150C6">
      <w:pPr>
        <w:pStyle w:val="Standarduser"/>
        <w:ind w:hanging="284"/>
        <w:jc w:val="center"/>
      </w:pPr>
      <w:r>
        <w:rPr>
          <w:b/>
          <w:sz w:val="24"/>
          <w:szCs w:val="24"/>
        </w:rPr>
        <w:t>Complétude de dossiers par mail avec l’instructeur : 15/02/2025</w:t>
      </w:r>
    </w:p>
    <w:p w14:paraId="471FEC95" w14:textId="77777777" w:rsidR="003150C6" w:rsidRDefault="003150C6" w:rsidP="003150C6">
      <w:pPr>
        <w:pStyle w:val="Standarduser"/>
        <w:ind w:hanging="284"/>
        <w:jc w:val="center"/>
        <w:rPr>
          <w:b/>
          <w:sz w:val="24"/>
          <w:szCs w:val="24"/>
        </w:rPr>
      </w:pPr>
    </w:p>
    <w:p w14:paraId="2EC3F7AE" w14:textId="77777777" w:rsidR="003150C6" w:rsidRDefault="003150C6" w:rsidP="003150C6">
      <w:pPr>
        <w:pStyle w:val="Standarduser"/>
        <w:ind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retourner au service instructeur compétent selon la tutelle pédagogique et/ou le champ de compétences (cf. liste en annexe 1)</w:t>
      </w:r>
    </w:p>
    <w:p w14:paraId="1A318148" w14:textId="77777777" w:rsidR="00296E12" w:rsidRDefault="00296E12" w:rsidP="003150C6">
      <w:pPr>
        <w:pStyle w:val="Standarduser"/>
        <w:ind w:hanging="284"/>
        <w:jc w:val="center"/>
        <w:rPr>
          <w:b/>
          <w:sz w:val="24"/>
          <w:szCs w:val="24"/>
        </w:rPr>
      </w:pPr>
    </w:p>
    <w:p w14:paraId="75F1B62C" w14:textId="16CCE8C3" w:rsidR="003150C6" w:rsidRPr="00551530" w:rsidRDefault="001C3185">
      <w:pPr>
        <w:pStyle w:val="Textbodyuser"/>
        <w:jc w:val="both"/>
        <w:rPr>
          <w:b/>
          <w:bCs/>
          <w:sz w:val="22"/>
          <w:szCs w:val="22"/>
        </w:rPr>
      </w:pPr>
      <w:r w:rsidRPr="00551530">
        <w:rPr>
          <w:b/>
          <w:bCs/>
          <w:sz w:val="22"/>
          <w:szCs w:val="22"/>
        </w:rPr>
        <w:t>Présentez votre établissement</w:t>
      </w:r>
      <w:r w:rsidR="00B71F93" w:rsidRPr="00551530">
        <w:rPr>
          <w:b/>
          <w:bCs/>
          <w:sz w:val="22"/>
          <w:szCs w:val="22"/>
        </w:rPr>
        <w:t xml:space="preserve"> en </w:t>
      </w:r>
      <w:r w:rsidR="00B71F93" w:rsidRPr="00551530">
        <w:rPr>
          <w:b/>
          <w:bCs/>
          <w:sz w:val="22"/>
          <w:szCs w:val="22"/>
        </w:rPr>
        <w:t>renseign</w:t>
      </w:r>
      <w:r w:rsidR="00B71F93" w:rsidRPr="00551530">
        <w:rPr>
          <w:b/>
          <w:bCs/>
          <w:sz w:val="22"/>
          <w:szCs w:val="22"/>
        </w:rPr>
        <w:t>ant</w:t>
      </w:r>
      <w:r w:rsidR="00B71F93" w:rsidRPr="00551530">
        <w:rPr>
          <w:b/>
          <w:bCs/>
          <w:sz w:val="22"/>
          <w:szCs w:val="22"/>
        </w:rPr>
        <w:t xml:space="preserve"> sur SOLTéA les coordonnées de votre établissement siège et celles des composantes lieu de formation</w:t>
      </w:r>
    </w:p>
    <w:tbl>
      <w:tblPr>
        <w:tblW w:w="9402" w:type="dxa"/>
        <w:tblInd w:w="-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7"/>
        <w:gridCol w:w="5875"/>
      </w:tblGrid>
      <w:tr w:rsidR="00296E12" w14:paraId="0BE99058" w14:textId="77777777" w:rsidTr="0019134E">
        <w:tc>
          <w:tcPr>
            <w:tcW w:w="9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BE9A0" w14:textId="77777777" w:rsidR="00296E12" w:rsidRDefault="00296E12" w:rsidP="0019134E">
            <w:pPr>
              <w:pStyle w:val="Standarduser"/>
              <w:snapToGrid w:val="0"/>
              <w:jc w:val="center"/>
              <w:rPr>
                <w:b/>
                <w:i/>
                <w:color w:val="0000FF"/>
              </w:rPr>
            </w:pPr>
          </w:p>
          <w:p w14:paraId="1B6E7CB7" w14:textId="6E29A958" w:rsidR="00296E12" w:rsidRDefault="00296E12" w:rsidP="0019134E">
            <w:pPr>
              <w:pStyle w:val="Standarduser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ORGANISME GESTIONNAIRE</w:t>
            </w:r>
            <w:r w:rsidR="00551530">
              <w:rPr>
                <w:b/>
                <w:i/>
                <w:color w:val="0000FF"/>
                <w:sz w:val="24"/>
                <w:szCs w:val="24"/>
              </w:rPr>
              <w:t xml:space="preserve"> déposant la demande</w:t>
            </w:r>
          </w:p>
          <w:p w14:paraId="78B326EF" w14:textId="77777777" w:rsidR="00296E12" w:rsidRDefault="00296E12" w:rsidP="0019134E">
            <w:pPr>
              <w:pStyle w:val="Standarduser"/>
              <w:jc w:val="center"/>
              <w:rPr>
                <w:b/>
                <w:i/>
                <w:color w:val="0000FF"/>
              </w:rPr>
            </w:pPr>
          </w:p>
        </w:tc>
      </w:tr>
      <w:tr w:rsidR="00296E12" w14:paraId="6498D0E2" w14:textId="77777777" w:rsidTr="0019134E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33AA4" w14:textId="77777777" w:rsidR="00296E12" w:rsidRDefault="00296E12" w:rsidP="0019134E">
            <w:pPr>
              <w:pStyle w:val="Standarduser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 SIREN du siège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D61AD" w14:textId="77777777" w:rsidR="00296E12" w:rsidRDefault="00296E12" w:rsidP="0019134E">
            <w:pPr>
              <w:pStyle w:val="Standarduser"/>
              <w:snapToGrid w:val="0"/>
            </w:pPr>
          </w:p>
        </w:tc>
      </w:tr>
      <w:tr w:rsidR="00296E12" w14:paraId="65FF648F" w14:textId="77777777" w:rsidTr="0019134E"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2604B" w14:textId="095C3C51" w:rsidR="00296E12" w:rsidRDefault="00296E12" w:rsidP="0019134E">
            <w:pPr>
              <w:pStyle w:val="Standarduser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N° UAI du siège </w:t>
            </w:r>
          </w:p>
        </w:tc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4F030" w14:textId="77777777" w:rsidR="00296E12" w:rsidRDefault="00296E12" w:rsidP="0019134E">
            <w:pPr>
              <w:pStyle w:val="Standarduser"/>
              <w:snapToGrid w:val="0"/>
            </w:pPr>
          </w:p>
        </w:tc>
      </w:tr>
      <w:tr w:rsidR="00296E12" w14:paraId="5FCB4F7E" w14:textId="77777777" w:rsidTr="0019134E">
        <w:tc>
          <w:tcPr>
            <w:tcW w:w="3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C1BD5C" w14:textId="77777777" w:rsidR="00296E12" w:rsidRDefault="00296E12" w:rsidP="0019134E">
            <w:pPr>
              <w:pStyle w:val="Standarduser"/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de l’organisme</w:t>
            </w:r>
          </w:p>
        </w:tc>
        <w:tc>
          <w:tcPr>
            <w:tcW w:w="5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A2C1E" w14:textId="77777777" w:rsidR="00296E12" w:rsidRDefault="00296E12" w:rsidP="0019134E">
            <w:pPr>
              <w:pStyle w:val="Standarduser"/>
              <w:snapToGrid w:val="0"/>
            </w:pPr>
          </w:p>
        </w:tc>
      </w:tr>
    </w:tbl>
    <w:p w14:paraId="66E24A4E" w14:textId="77777777" w:rsidR="00296E12" w:rsidRDefault="00296E12" w:rsidP="00296E12">
      <w:pPr>
        <w:pStyle w:val="Standarduser"/>
        <w:rPr>
          <w:sz w:val="24"/>
          <w:szCs w:val="24"/>
        </w:rPr>
      </w:pPr>
    </w:p>
    <w:p w14:paraId="3D6E45D4" w14:textId="77777777" w:rsidR="009C78B2" w:rsidRDefault="009C78B2">
      <w:pPr>
        <w:pStyle w:val="Standarduser"/>
      </w:pPr>
    </w:p>
    <w:p w14:paraId="4A799BC6" w14:textId="3BA9A401" w:rsidR="009C78B2" w:rsidRPr="00B71F93" w:rsidRDefault="00674F3F">
      <w:pPr>
        <w:pStyle w:val="Standarduser"/>
        <w:rPr>
          <w:sz w:val="24"/>
          <w:szCs w:val="24"/>
        </w:rPr>
      </w:pPr>
      <w:r w:rsidRPr="00B71F93">
        <w:rPr>
          <w:sz w:val="24"/>
          <w:szCs w:val="24"/>
        </w:rPr>
        <w:t>Pour chacune des formations proposées, veuillez insérer et remplir un tableau</w:t>
      </w:r>
      <w:r w:rsidR="000C7249" w:rsidRPr="00B71F93">
        <w:rPr>
          <w:sz w:val="24"/>
          <w:szCs w:val="24"/>
        </w:rPr>
        <w:t xml:space="preserve"> suivant :</w:t>
      </w:r>
    </w:p>
    <w:p w14:paraId="758B5CB4" w14:textId="77777777" w:rsidR="009C78B2" w:rsidRDefault="009C78B2">
      <w:pPr>
        <w:pStyle w:val="Standarduser"/>
      </w:pPr>
    </w:p>
    <w:tbl>
      <w:tblPr>
        <w:tblW w:w="9498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134"/>
        <w:gridCol w:w="284"/>
        <w:gridCol w:w="805"/>
        <w:gridCol w:w="3022"/>
        <w:gridCol w:w="547"/>
        <w:gridCol w:w="20"/>
      </w:tblGrid>
      <w:tr w:rsidR="009C78B2" w14:paraId="4FEA39D2" w14:textId="77777777" w:rsidTr="00551530">
        <w:trPr>
          <w:gridAfter w:val="1"/>
          <w:wAfter w:w="20" w:type="dxa"/>
        </w:trPr>
        <w:tc>
          <w:tcPr>
            <w:tcW w:w="9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705D0C" w14:textId="77777777" w:rsidR="009C78B2" w:rsidRDefault="009C78B2">
            <w:pPr>
              <w:pStyle w:val="Standarduser"/>
              <w:snapToGrid w:val="0"/>
              <w:jc w:val="center"/>
              <w:rPr>
                <w:b/>
                <w:i/>
                <w:color w:val="0000FF"/>
              </w:rPr>
            </w:pPr>
          </w:p>
          <w:p w14:paraId="37AE98B6" w14:textId="37AD7DE3" w:rsidR="009C78B2" w:rsidRDefault="009D118F">
            <w:pPr>
              <w:pStyle w:val="Standarduser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FORMATIONS PROPOSÉES POUR LA CAMPAGNE A VENIR</w:t>
            </w:r>
          </w:p>
          <w:p w14:paraId="402541A1" w14:textId="77777777" w:rsidR="009C78B2" w:rsidRDefault="009D118F">
            <w:pPr>
              <w:pStyle w:val="Standarduser"/>
              <w:jc w:val="center"/>
            </w:pPr>
            <w:r>
              <w:rPr>
                <w:b/>
                <w:i/>
                <w:color w:val="0000FF"/>
                <w:sz w:val="24"/>
                <w:szCs w:val="24"/>
              </w:rPr>
              <w:t>(</w:t>
            </w:r>
            <w:r>
              <w:rPr>
                <w:b/>
                <w:i/>
                <w:color w:val="0000FF"/>
                <w:sz w:val="24"/>
                <w:szCs w:val="24"/>
                <w:u w:val="single"/>
              </w:rPr>
              <w:t>UNE FICHE PAR FORMATION</w:t>
            </w:r>
            <w:r>
              <w:rPr>
                <w:b/>
                <w:i/>
                <w:color w:val="0000FF"/>
                <w:sz w:val="24"/>
                <w:szCs w:val="24"/>
              </w:rPr>
              <w:t>)</w:t>
            </w:r>
          </w:p>
          <w:p w14:paraId="70538A36" w14:textId="77777777" w:rsidR="009C78B2" w:rsidRDefault="009C78B2">
            <w:pPr>
              <w:pStyle w:val="Standarduser"/>
              <w:jc w:val="center"/>
              <w:rPr>
                <w:b/>
                <w:i/>
                <w:color w:val="0000FF"/>
              </w:rPr>
            </w:pPr>
          </w:p>
        </w:tc>
      </w:tr>
      <w:tr w:rsidR="009C78B2" w14:paraId="7EBB224C" w14:textId="77777777" w:rsidTr="00551530">
        <w:trPr>
          <w:gridAfter w:val="1"/>
          <w:wAfter w:w="20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8FF09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Code RNCP (répertoire national de la certification professionnelle)</w:t>
            </w:r>
          </w:p>
          <w:p w14:paraId="3F1CDCA1" w14:textId="77777777" w:rsidR="009C78B2" w:rsidRDefault="009D118F">
            <w:pPr>
              <w:pStyle w:val="Standarduser"/>
            </w:pPr>
            <w:r>
              <w:rPr>
                <w:b/>
                <w:bCs/>
                <w:sz w:val="24"/>
                <w:szCs w:val="24"/>
              </w:rPr>
              <w:t>Code MEN (2</w:t>
            </w:r>
            <w:r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/>
                <w:bCs/>
                <w:sz w:val="24"/>
                <w:szCs w:val="24"/>
              </w:rPr>
              <w:t xml:space="preserve"> degré) ou</w:t>
            </w:r>
          </w:p>
          <w:p w14:paraId="5148D697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Code SISE (supérieur)</w:t>
            </w: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D5158" w14:textId="77777777" w:rsidR="009C78B2" w:rsidRDefault="009D118F">
            <w:pPr>
              <w:pStyle w:val="Standarduser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TYPE DE CODE :</w:t>
            </w:r>
          </w:p>
          <w:p w14:paraId="01068BCB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  <w:u w:val="single"/>
              </w:rPr>
            </w:pPr>
          </w:p>
          <w:p w14:paraId="732D90BB" w14:textId="77777777" w:rsidR="009C78B2" w:rsidRDefault="009D118F">
            <w:pPr>
              <w:pStyle w:val="Standarduser"/>
              <w:snapToGrid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NUMERO DE CODE :</w:t>
            </w:r>
          </w:p>
          <w:p w14:paraId="361659A9" w14:textId="77777777" w:rsidR="009C78B2" w:rsidRDefault="009C78B2">
            <w:pPr>
              <w:pStyle w:val="Standarduser"/>
              <w:snapToGrid w:val="0"/>
              <w:rPr>
                <w:u w:val="single"/>
              </w:rPr>
            </w:pPr>
          </w:p>
          <w:p w14:paraId="127A73DA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  <w:u w:val="single"/>
              </w:rPr>
            </w:pPr>
          </w:p>
        </w:tc>
      </w:tr>
      <w:tr w:rsidR="009C78B2" w14:paraId="2458D6AA" w14:textId="77777777" w:rsidTr="00551530">
        <w:trPr>
          <w:gridAfter w:val="1"/>
          <w:wAfter w:w="20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FAEF9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Titre du diplôme</w:t>
            </w:r>
          </w:p>
          <w:p w14:paraId="16887FEB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(Libellé court MEN/RNCP ou SISE)</w:t>
            </w: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01EC9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</w:rPr>
            </w:pPr>
          </w:p>
          <w:p w14:paraId="52C9B247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</w:rPr>
            </w:pPr>
          </w:p>
          <w:p w14:paraId="1EC91C8C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</w:rPr>
            </w:pPr>
          </w:p>
        </w:tc>
      </w:tr>
      <w:tr w:rsidR="009C78B2" w14:paraId="3FE1DCF7" w14:textId="77777777" w:rsidTr="00551530">
        <w:trPr>
          <w:gridAfter w:val="1"/>
          <w:wAfter w:w="20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00D3F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Intitulé de formation</w:t>
            </w:r>
          </w:p>
          <w:p w14:paraId="717933C1" w14:textId="7C79F0B3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0F578E">
              <w:rPr>
                <w:b/>
                <w:bCs/>
                <w:sz w:val="24"/>
                <w:szCs w:val="24"/>
              </w:rPr>
              <w:t>Libellé</w:t>
            </w:r>
            <w:r>
              <w:rPr>
                <w:b/>
                <w:bCs/>
                <w:sz w:val="24"/>
                <w:szCs w:val="24"/>
              </w:rPr>
              <w:t xml:space="preserve"> long MEN/RNCP ou SISE)</w:t>
            </w:r>
          </w:p>
          <w:p w14:paraId="51C35558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DEFE7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</w:rPr>
            </w:pPr>
          </w:p>
          <w:p w14:paraId="24D95014" w14:textId="77777777" w:rsidR="009C78B2" w:rsidRDefault="009C78B2">
            <w:pPr>
              <w:pStyle w:val="Standarduser"/>
              <w:snapToGrid w:val="0"/>
              <w:rPr>
                <w:sz w:val="24"/>
                <w:szCs w:val="24"/>
              </w:rPr>
            </w:pPr>
          </w:p>
        </w:tc>
      </w:tr>
      <w:tr w:rsidR="009C78B2" w14:paraId="33A5311D" w14:textId="77777777" w:rsidTr="00551530">
        <w:trPr>
          <w:gridAfter w:val="1"/>
          <w:wAfter w:w="20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E6D76E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de diplôme :</w:t>
            </w:r>
          </w:p>
          <w:p w14:paraId="70E37FC8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(nouvelle nomenclature de 3 à 8)</w:t>
            </w: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A2047" w14:textId="77777777" w:rsidR="009C78B2" w:rsidRDefault="009C78B2">
            <w:pPr>
              <w:pStyle w:val="Standarduser"/>
              <w:snapToGrid w:val="0"/>
            </w:pPr>
          </w:p>
        </w:tc>
      </w:tr>
      <w:tr w:rsidR="009C78B2" w14:paraId="098C39B5" w14:textId="77777777" w:rsidTr="00551530">
        <w:trPr>
          <w:gridAfter w:val="1"/>
          <w:wAfter w:w="20" w:type="dxa"/>
        </w:trPr>
        <w:tc>
          <w:tcPr>
            <w:tcW w:w="9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869E5" w14:textId="77777777" w:rsidR="009C78B2" w:rsidRDefault="009C78B2">
            <w:pPr>
              <w:pStyle w:val="Standarduser"/>
              <w:snapToGrid w:val="0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  <w:p w14:paraId="3CF34FA8" w14:textId="77777777" w:rsidR="009C78B2" w:rsidRDefault="009D118F">
            <w:pPr>
              <w:pStyle w:val="Standarduser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FF"/>
                <w:sz w:val="24"/>
                <w:szCs w:val="24"/>
              </w:rPr>
              <w:t>NATURE ET DURÉE DE LA FORMATION</w:t>
            </w:r>
          </w:p>
          <w:p w14:paraId="5D43B539" w14:textId="77777777" w:rsidR="009C78B2" w:rsidRDefault="009C78B2">
            <w:pPr>
              <w:pStyle w:val="Standarduser"/>
              <w:jc w:val="center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</w:p>
        </w:tc>
      </w:tr>
      <w:tr w:rsidR="009C78B2" w14:paraId="5D5C9854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8E7ABE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initial requis</w:t>
            </w:r>
          </w:p>
          <w:p w14:paraId="6C07A862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(nouvelle nomenclature)</w:t>
            </w: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39DE0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541320A8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4CB564" w14:textId="36037616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 totale de la formation</w:t>
            </w:r>
          </w:p>
          <w:p w14:paraId="4DD7A63A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0E44C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2C149E7A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D8C031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 de la formation dans</w:t>
            </w:r>
          </w:p>
          <w:p w14:paraId="22521EF9" w14:textId="31B6183C" w:rsidR="009C78B2" w:rsidRDefault="000F578E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L’établissement</w:t>
            </w:r>
          </w:p>
          <w:p w14:paraId="437B0402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559A7D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6E464655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08BD5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Durée de la formation hors établissement (stages en entreprise)</w:t>
            </w:r>
          </w:p>
          <w:p w14:paraId="4BD1383B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66FEB5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3ED01927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53041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Niveau préparé</w:t>
            </w:r>
          </w:p>
          <w:p w14:paraId="7718ED60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6BD2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2FA37B90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61BA0B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Enseignements technologiques ou professionnels dispensés</w:t>
            </w:r>
          </w:p>
          <w:p w14:paraId="502B1FC5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6EB85D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</w:tc>
      </w:tr>
      <w:tr w:rsidR="009C78B2" w14:paraId="28F7F3A6" w14:textId="77777777" w:rsidTr="00551530">
        <w:trPr>
          <w:gridAfter w:val="1"/>
          <w:wAfter w:w="20" w:type="dxa"/>
        </w:trPr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80A7F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Découverte du milieu professionnel</w:t>
            </w:r>
          </w:p>
          <w:p w14:paraId="6E47730A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  <w:p w14:paraId="46153CB8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  <w:p w14:paraId="18920290" w14:textId="77777777" w:rsidR="000C7249" w:rsidRDefault="000C7249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  <w:p w14:paraId="213AF493" w14:textId="77777777" w:rsidR="000C7249" w:rsidRDefault="000C7249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  <w:p w14:paraId="37C742E0" w14:textId="77777777" w:rsidR="009C78B2" w:rsidRDefault="009C78B2">
            <w:pPr>
              <w:pStyle w:val="Standardus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5D51A8" w14:textId="77777777" w:rsidR="009C78B2" w:rsidRDefault="009C78B2">
            <w:pPr>
              <w:pStyle w:val="Standarduser"/>
              <w:snapToGrid w:val="0"/>
              <w:rPr>
                <w:b/>
                <w:bCs/>
              </w:rPr>
            </w:pPr>
          </w:p>
          <w:p w14:paraId="01128269" w14:textId="77777777" w:rsidR="009C78B2" w:rsidRDefault="009C78B2">
            <w:pPr>
              <w:pStyle w:val="Standarduser"/>
              <w:snapToGrid w:val="0"/>
            </w:pPr>
          </w:p>
          <w:p w14:paraId="3E21AAAB" w14:textId="77777777" w:rsidR="009C78B2" w:rsidRDefault="009C78B2">
            <w:pPr>
              <w:pStyle w:val="Standarduser"/>
              <w:snapToGrid w:val="0"/>
            </w:pPr>
          </w:p>
          <w:p w14:paraId="2C9D48A0" w14:textId="77777777" w:rsidR="009C78B2" w:rsidRDefault="009C78B2">
            <w:pPr>
              <w:pStyle w:val="Standarduser"/>
              <w:snapToGrid w:val="0"/>
            </w:pPr>
          </w:p>
        </w:tc>
      </w:tr>
      <w:tr w:rsidR="000C7249" w14:paraId="00603568" w14:textId="77777777" w:rsidTr="00551530">
        <w:trPr>
          <w:gridAfter w:val="1"/>
          <w:wAfter w:w="20" w:type="dxa"/>
        </w:trPr>
        <w:tc>
          <w:tcPr>
            <w:tcW w:w="9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E444E" w14:textId="77777777" w:rsidR="000C7249" w:rsidRDefault="000C7249" w:rsidP="00106863">
            <w:pPr>
              <w:pStyle w:val="Standarduser"/>
              <w:snapToGrid w:val="0"/>
              <w:jc w:val="center"/>
              <w:rPr>
                <w:b/>
                <w:i/>
                <w:color w:val="0000FF"/>
              </w:rPr>
            </w:pPr>
          </w:p>
          <w:p w14:paraId="46BF4FDC" w14:textId="439F4320" w:rsidR="000C7249" w:rsidRDefault="000C7249" w:rsidP="00106863">
            <w:pPr>
              <w:pStyle w:val="Standarduser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 xml:space="preserve">PUBLIC ACCUEILLI </w:t>
            </w:r>
            <w:r w:rsidR="00551530">
              <w:rPr>
                <w:b/>
                <w:i/>
                <w:color w:val="0000FF"/>
                <w:sz w:val="24"/>
                <w:szCs w:val="24"/>
              </w:rPr>
              <w:t>AU 31</w:t>
            </w:r>
            <w:r>
              <w:rPr>
                <w:b/>
                <w:i/>
                <w:color w:val="0000FF"/>
                <w:sz w:val="24"/>
                <w:szCs w:val="24"/>
              </w:rPr>
              <w:t xml:space="preserve"> DECEMBRE 2024</w:t>
            </w:r>
          </w:p>
          <w:p w14:paraId="34677780" w14:textId="77777777" w:rsidR="000C7249" w:rsidRDefault="000C7249" w:rsidP="00106863">
            <w:pPr>
              <w:pStyle w:val="Standarduser"/>
              <w:jc w:val="center"/>
              <w:rPr>
                <w:b/>
                <w:i/>
                <w:color w:val="0000FF"/>
              </w:rPr>
            </w:pPr>
          </w:p>
        </w:tc>
      </w:tr>
      <w:tr w:rsidR="00551530" w14:paraId="3CE99CA4" w14:textId="77777777" w:rsidTr="00551530">
        <w:trPr>
          <w:trHeight w:val="345"/>
        </w:trPr>
        <w:tc>
          <w:tcPr>
            <w:tcW w:w="59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D8D89" w14:textId="4FDEFC04" w:rsidR="00551530" w:rsidRDefault="00551530" w:rsidP="00F77721">
            <w:pPr>
              <w:pStyle w:val="Standarduser"/>
              <w:suppressAutoHyphens w:val="0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Statut du p</w:t>
            </w:r>
            <w:r>
              <w:rPr>
                <w:b/>
                <w:bCs/>
                <w:sz w:val="24"/>
                <w:szCs w:val="24"/>
                <w:lang w:eastAsia="fr-FR"/>
              </w:rPr>
              <w:t xml:space="preserve">ublic </w:t>
            </w:r>
            <w:r>
              <w:rPr>
                <w:b/>
                <w:bCs/>
                <w:sz w:val="24"/>
                <w:szCs w:val="24"/>
                <w:lang w:eastAsia="fr-FR"/>
              </w:rPr>
              <w:t xml:space="preserve">accueilli </w:t>
            </w:r>
          </w:p>
        </w:tc>
        <w:tc>
          <w:tcPr>
            <w:tcW w:w="3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BB19C" w14:textId="77777777" w:rsidR="00551530" w:rsidRDefault="00551530" w:rsidP="00F77721">
            <w:pPr>
              <w:pStyle w:val="Standarduser"/>
              <w:suppressAutoHyphens w:val="0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Nombre</w:t>
            </w:r>
          </w:p>
        </w:tc>
      </w:tr>
      <w:tr w:rsidR="00551530" w14:paraId="6FA49256" w14:textId="77777777" w:rsidTr="00551530">
        <w:trPr>
          <w:trHeight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2B19CA" w14:textId="77777777" w:rsidR="00551530" w:rsidRDefault="00551530" w:rsidP="00F77721">
            <w:pPr>
              <w:pStyle w:val="Standarduser"/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scolaires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94EE6" w14:textId="77777777" w:rsidR="00551530" w:rsidRDefault="00551530" w:rsidP="00F77721">
            <w:pPr>
              <w:pStyle w:val="Standarduser"/>
              <w:suppressAutoHyphens w:val="0"/>
              <w:rPr>
                <w:lang w:eastAsia="fr-FR"/>
              </w:rPr>
            </w:pPr>
            <w:r>
              <w:rPr>
                <w:lang w:eastAsia="fr-FR"/>
              </w:rPr>
              <w:t> </w:t>
            </w:r>
          </w:p>
        </w:tc>
      </w:tr>
      <w:tr w:rsidR="00551530" w14:paraId="3CA93F77" w14:textId="77777777" w:rsidTr="00551530">
        <w:trPr>
          <w:trHeight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78EE3B5" w14:textId="77777777" w:rsidR="00551530" w:rsidRDefault="00551530" w:rsidP="00F77721">
            <w:pPr>
              <w:pStyle w:val="Standarduser"/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étudiants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C250F9" w14:textId="77777777" w:rsidR="00551530" w:rsidRDefault="00551530" w:rsidP="00F77721">
            <w:pPr>
              <w:pStyle w:val="Standarduser"/>
              <w:suppressAutoHyphens w:val="0"/>
              <w:rPr>
                <w:lang w:eastAsia="fr-FR"/>
              </w:rPr>
            </w:pPr>
            <w:r>
              <w:rPr>
                <w:lang w:eastAsia="fr-FR"/>
              </w:rPr>
              <w:t> </w:t>
            </w:r>
          </w:p>
        </w:tc>
      </w:tr>
      <w:tr w:rsidR="00551530" w14:paraId="3B3C5D13" w14:textId="77777777" w:rsidTr="00551530">
        <w:trPr>
          <w:trHeight w:val="264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F49E5C" w14:textId="31CC957B" w:rsidR="00551530" w:rsidRDefault="00551530" w:rsidP="00F77721">
            <w:pPr>
              <w:pStyle w:val="Standarduser"/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A</w:t>
            </w:r>
            <w:r>
              <w:rPr>
                <w:b/>
                <w:bCs/>
                <w:sz w:val="24"/>
                <w:szCs w:val="24"/>
                <w:lang w:eastAsia="fr-FR"/>
              </w:rPr>
              <w:t>pprentis</w:t>
            </w:r>
            <w:r>
              <w:rPr>
                <w:b/>
                <w:bCs/>
                <w:sz w:val="24"/>
                <w:szCs w:val="24"/>
                <w:lang w:eastAsia="fr-FR"/>
              </w:rPr>
              <w:t xml:space="preserve"> stagiaire</w:t>
            </w:r>
            <w:r w:rsidR="000F578E">
              <w:rPr>
                <w:b/>
                <w:bCs/>
                <w:sz w:val="24"/>
                <w:szCs w:val="24"/>
                <w:lang w:eastAsia="fr-FR"/>
              </w:rPr>
              <w:t>s</w:t>
            </w:r>
            <w:r>
              <w:rPr>
                <w:b/>
                <w:bCs/>
                <w:sz w:val="24"/>
                <w:szCs w:val="24"/>
                <w:lang w:eastAsia="fr-FR"/>
              </w:rPr>
              <w:t xml:space="preserve"> de la formation pro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6BF901" w14:textId="77777777" w:rsidR="00551530" w:rsidRDefault="00551530" w:rsidP="00F77721">
            <w:pPr>
              <w:pStyle w:val="Standarduser"/>
              <w:suppressAutoHyphens w:val="0"/>
              <w:rPr>
                <w:lang w:eastAsia="fr-FR"/>
              </w:rPr>
            </w:pPr>
            <w:r>
              <w:rPr>
                <w:lang w:eastAsia="fr-FR"/>
              </w:rPr>
              <w:t> </w:t>
            </w:r>
          </w:p>
        </w:tc>
      </w:tr>
      <w:tr w:rsidR="00551530" w14:paraId="1DCB4454" w14:textId="77777777" w:rsidTr="00551530">
        <w:trPr>
          <w:trHeight w:val="2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CB8735" w14:textId="77777777" w:rsidR="00551530" w:rsidRDefault="00551530" w:rsidP="00F77721">
            <w:pPr>
              <w:pStyle w:val="Standarduser"/>
              <w:suppressAutoHyphens w:val="0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b/>
                <w:bCs/>
                <w:sz w:val="24"/>
                <w:szCs w:val="24"/>
                <w:lang w:eastAsia="fr-FR"/>
              </w:rPr>
              <w:t>Autres : lequel :</w:t>
            </w:r>
          </w:p>
        </w:tc>
        <w:tc>
          <w:tcPr>
            <w:tcW w:w="72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EC5E9" w14:textId="77777777" w:rsidR="00551530" w:rsidRDefault="00551530" w:rsidP="00F77721">
            <w:pPr>
              <w:pStyle w:val="Standarduser"/>
              <w:suppressAutoHyphens w:val="0"/>
              <w:rPr>
                <w:lang w:eastAsia="fr-FR"/>
              </w:rPr>
            </w:pPr>
            <w:r>
              <w:rPr>
                <w:lang w:eastAsia="fr-FR"/>
              </w:rPr>
              <w:t> </w:t>
            </w:r>
          </w:p>
        </w:tc>
      </w:tr>
      <w:tr w:rsidR="009C78B2" w14:paraId="08EB2F4C" w14:textId="77777777" w:rsidTr="00551530">
        <w:trPr>
          <w:gridAfter w:val="1"/>
          <w:wAfter w:w="20" w:type="dxa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7023A" w14:textId="77777777" w:rsidR="009C78B2" w:rsidRDefault="009D118F">
            <w:pPr>
              <w:pStyle w:val="Standardus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Conditions de recrutement</w:t>
            </w:r>
          </w:p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D175B" w14:textId="77777777" w:rsidR="009C78B2" w:rsidRDefault="009C78B2">
            <w:pPr>
              <w:pStyle w:val="Standarduser"/>
              <w:snapToGrid w:val="0"/>
            </w:pPr>
          </w:p>
          <w:p w14:paraId="6035BEF2" w14:textId="77777777" w:rsidR="009C78B2" w:rsidRDefault="009C78B2">
            <w:pPr>
              <w:pStyle w:val="Standarduser"/>
              <w:snapToGrid w:val="0"/>
            </w:pPr>
          </w:p>
        </w:tc>
      </w:tr>
      <w:tr w:rsidR="009C78B2" w14:paraId="0039EF0F" w14:textId="77777777" w:rsidTr="00551530">
        <w:trPr>
          <w:gridAfter w:val="1"/>
          <w:wAfter w:w="20" w:type="dxa"/>
        </w:trPr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30B166" w14:textId="0B08DB30" w:rsidR="009C78B2" w:rsidRDefault="009D118F">
            <w:pPr>
              <w:pStyle w:val="Standarduser"/>
            </w:pPr>
            <w:r>
              <w:rPr>
                <w:bCs/>
              </w:rPr>
              <w:t>Rappel : les apprenants en contrat de professionnalisation relèvent de la formation professionnelle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continue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255AB" w14:textId="77777777" w:rsidR="009C78B2" w:rsidRDefault="009C78B2">
            <w:pPr>
              <w:pStyle w:val="Standarduser"/>
              <w:snapToGrid w:val="0"/>
            </w:pPr>
          </w:p>
          <w:p w14:paraId="0B6D6EA2" w14:textId="77777777" w:rsidR="009C78B2" w:rsidRDefault="009C78B2">
            <w:pPr>
              <w:pStyle w:val="Standarduser"/>
              <w:snapToGrid w:val="0"/>
            </w:pPr>
          </w:p>
        </w:tc>
      </w:tr>
      <w:tr w:rsidR="009C78B2" w14:paraId="5D3F24C1" w14:textId="77777777" w:rsidTr="00551530">
        <w:trPr>
          <w:gridAfter w:val="1"/>
          <w:wAfter w:w="20" w:type="dxa"/>
          <w:trHeight w:val="2401"/>
        </w:trPr>
        <w:tc>
          <w:tcPr>
            <w:tcW w:w="94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94BA63" w14:textId="77777777" w:rsidR="009C78B2" w:rsidRDefault="009C78B2">
            <w:pPr>
              <w:pStyle w:val="Standarduser"/>
              <w:snapToGrid w:val="0"/>
              <w:jc w:val="center"/>
              <w:rPr>
                <w:b/>
                <w:i/>
                <w:color w:val="0000FF"/>
              </w:rPr>
            </w:pPr>
          </w:p>
          <w:p w14:paraId="69BF3AAF" w14:textId="77777777" w:rsidR="009C78B2" w:rsidRDefault="009D118F">
            <w:pPr>
              <w:pStyle w:val="Standarduser"/>
              <w:jc w:val="center"/>
              <w:rPr>
                <w:b/>
                <w:i/>
                <w:color w:val="0000FF"/>
                <w:sz w:val="24"/>
                <w:szCs w:val="24"/>
              </w:rPr>
            </w:pPr>
            <w:r>
              <w:rPr>
                <w:b/>
                <w:i/>
                <w:color w:val="0000FF"/>
                <w:sz w:val="24"/>
                <w:szCs w:val="24"/>
              </w:rPr>
              <w:t>OBSERVATIONS</w:t>
            </w:r>
          </w:p>
          <w:p w14:paraId="683B482E" w14:textId="77777777" w:rsidR="009C78B2" w:rsidRDefault="009C78B2">
            <w:pPr>
              <w:pStyle w:val="Standarduser"/>
              <w:jc w:val="center"/>
              <w:rPr>
                <w:b/>
                <w:i/>
                <w:color w:val="0000FF"/>
              </w:rPr>
            </w:pPr>
          </w:p>
          <w:p w14:paraId="454CE92C" w14:textId="77777777" w:rsidR="009C78B2" w:rsidRDefault="009C78B2">
            <w:pPr>
              <w:pStyle w:val="Standarduser"/>
              <w:rPr>
                <w:b/>
                <w:i/>
                <w:color w:val="0000FF"/>
              </w:rPr>
            </w:pPr>
          </w:p>
          <w:p w14:paraId="329A1C5F" w14:textId="77777777" w:rsidR="009C78B2" w:rsidRDefault="009C78B2">
            <w:pPr>
              <w:pStyle w:val="Standarduser"/>
              <w:rPr>
                <w:b/>
                <w:i/>
              </w:rPr>
            </w:pPr>
          </w:p>
        </w:tc>
      </w:tr>
    </w:tbl>
    <w:p w14:paraId="63093E47" w14:textId="77777777" w:rsidR="009C78B2" w:rsidRDefault="009C78B2">
      <w:pPr>
        <w:pStyle w:val="Standarduser"/>
      </w:pPr>
    </w:p>
    <w:p w14:paraId="4F5AB719" w14:textId="77777777" w:rsidR="009C78B2" w:rsidRDefault="009C78B2">
      <w:pPr>
        <w:pStyle w:val="Standarduser"/>
      </w:pPr>
    </w:p>
    <w:p w14:paraId="1667AAD8" w14:textId="1DCB866C" w:rsidR="009C78B2" w:rsidRDefault="009D118F" w:rsidP="000C7249">
      <w:pPr>
        <w:pStyle w:val="Standarduser"/>
        <w:tabs>
          <w:tab w:val="left" w:pos="3686"/>
        </w:tabs>
      </w:pPr>
      <w:r>
        <w:rPr>
          <w:b/>
          <w:bCs/>
        </w:rPr>
        <w:t>Fait à :</w:t>
      </w:r>
      <w:r w:rsidR="000C7249">
        <w:rPr>
          <w:b/>
          <w:bCs/>
        </w:rPr>
        <w:tab/>
      </w:r>
      <w:r>
        <w:tab/>
        <w:t>Signature, nom prénom et qualité du signataire</w:t>
      </w:r>
    </w:p>
    <w:p w14:paraId="592D7F35" w14:textId="77777777" w:rsidR="009C78B2" w:rsidRDefault="009C78B2">
      <w:pPr>
        <w:pStyle w:val="Standarduser"/>
      </w:pPr>
    </w:p>
    <w:p w14:paraId="6E9F4174" w14:textId="77777777" w:rsidR="00551530" w:rsidRDefault="00551530">
      <w:pPr>
        <w:pStyle w:val="Standarduser"/>
      </w:pPr>
    </w:p>
    <w:p w14:paraId="4175FAC2" w14:textId="77777777" w:rsidR="009C78B2" w:rsidRDefault="009C78B2">
      <w:pPr>
        <w:pStyle w:val="Standarduser"/>
      </w:pPr>
    </w:p>
    <w:p w14:paraId="5EF7E745" w14:textId="77777777" w:rsidR="000C7249" w:rsidRDefault="000C7249">
      <w:pPr>
        <w:pStyle w:val="Standarduser"/>
      </w:pPr>
    </w:p>
    <w:p w14:paraId="6621AA88" w14:textId="77777777" w:rsidR="009C78B2" w:rsidRDefault="009C78B2">
      <w:pPr>
        <w:pStyle w:val="Standarduser"/>
      </w:pPr>
    </w:p>
    <w:p w14:paraId="34981D3E" w14:textId="77777777" w:rsidR="009C78B2" w:rsidRDefault="009C78B2">
      <w:pPr>
        <w:pStyle w:val="Standarduser"/>
      </w:pPr>
    </w:p>
    <w:p w14:paraId="4AA69456" w14:textId="77777777" w:rsidR="009C78B2" w:rsidRDefault="009C78B2">
      <w:pPr>
        <w:pStyle w:val="Standarduser"/>
      </w:pPr>
    </w:p>
    <w:p w14:paraId="0E722541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4"/>
          <w:szCs w:val="24"/>
          <w:u w:val="single"/>
        </w:rPr>
      </w:pPr>
    </w:p>
    <w:p w14:paraId="7E85E2AE" w14:textId="136C22AA" w:rsidR="009C78B2" w:rsidRDefault="009D118F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ATTENTION</w:t>
      </w:r>
      <w:r>
        <w:rPr>
          <w:b/>
          <w:bCs/>
          <w:sz w:val="24"/>
          <w:szCs w:val="24"/>
        </w:rPr>
        <w:t xml:space="preserve"> :</w:t>
      </w:r>
    </w:p>
    <w:p w14:paraId="715627DE" w14:textId="77777777" w:rsidR="009C78B2" w:rsidRDefault="009D118F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t>Le fait de figurer sur la liste ne crée pas un droit d’inscription automatique pour l’année suivante, les services académiques référents vérifient chaque année si les établissements remplissent bien les conditions.</w:t>
      </w:r>
    </w:p>
    <w:p w14:paraId="114456D4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40EF096D" w14:textId="18B3972A" w:rsidR="009C78B2" w:rsidRDefault="009D118F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r>
        <w:t>Une fois votre demande instruite et acceptée,</w:t>
      </w:r>
      <w:r w:rsidR="000C7249">
        <w:t xml:space="preserve"> </w:t>
      </w:r>
      <w:r>
        <w:t>vous êtes invités à vérifier l'exactitude des données vous concernant sur l'arrêté publié sur le site internet de la Préfecture de région :</w:t>
      </w:r>
    </w:p>
    <w:p w14:paraId="2D498107" w14:textId="77777777" w:rsidR="009C78B2" w:rsidRDefault="009C78B2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</w:p>
    <w:p w14:paraId="77E7A8A1" w14:textId="77777777" w:rsidR="009C78B2" w:rsidRDefault="0086015E">
      <w:pPr>
        <w:pStyle w:val="Standarduser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jc w:val="center"/>
      </w:pPr>
      <w:hyperlink r:id="rId15" w:history="1">
        <w:r w:rsidR="009D118F">
          <w:rPr>
            <w:rStyle w:val="Internetlink"/>
          </w:rPr>
          <w:t>http://prefectures-regions.gouv.fr/hauts-de-france/Documents-publications/Taxe-d-apprentissage/Taxe-d-apprentissage-dans-la-region-Hauts-de-France</w:t>
        </w:r>
      </w:hyperlink>
    </w:p>
    <w:sectPr w:rsidR="009C78B2" w:rsidSect="00296E12">
      <w:footerReference w:type="default" r:id="rId16"/>
      <w:pgSz w:w="11906" w:h="16838"/>
      <w:pgMar w:top="1440" w:right="1080" w:bottom="1440" w:left="1080" w:header="720" w:footer="8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9D0C" w14:textId="77777777" w:rsidR="009D118F" w:rsidRDefault="009D118F">
      <w:r>
        <w:separator/>
      </w:r>
    </w:p>
  </w:endnote>
  <w:endnote w:type="continuationSeparator" w:id="0">
    <w:p w14:paraId="30419F63" w14:textId="77777777" w:rsidR="009D118F" w:rsidRDefault="009D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A3AA4" w14:textId="77777777" w:rsidR="009D118F" w:rsidRDefault="009D118F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A3ED" w14:textId="77777777" w:rsidR="009D118F" w:rsidRDefault="009D118F">
      <w:r>
        <w:rPr>
          <w:color w:val="000000"/>
        </w:rPr>
        <w:separator/>
      </w:r>
    </w:p>
  </w:footnote>
  <w:footnote w:type="continuationSeparator" w:id="0">
    <w:p w14:paraId="416152DD" w14:textId="77777777" w:rsidR="009D118F" w:rsidRDefault="009D1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9EB"/>
    <w:multiLevelType w:val="multilevel"/>
    <w:tmpl w:val="47C0134E"/>
    <w:styleLink w:val="WW8Num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3A06542"/>
    <w:multiLevelType w:val="multilevel"/>
    <w:tmpl w:val="B9F69338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2" w15:restartNumberingAfterBreak="0">
    <w:nsid w:val="31EF5156"/>
    <w:multiLevelType w:val="multilevel"/>
    <w:tmpl w:val="0E88BAAC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" w15:restartNumberingAfterBreak="0">
    <w:nsid w:val="40B05E20"/>
    <w:multiLevelType w:val="multilevel"/>
    <w:tmpl w:val="8C3ECBE4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77775462"/>
    <w:multiLevelType w:val="multilevel"/>
    <w:tmpl w:val="F51E2FF4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77C6286A"/>
    <w:multiLevelType w:val="multilevel"/>
    <w:tmpl w:val="54B8A45C"/>
    <w:styleLink w:val="WWNum2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897007077">
    <w:abstractNumId w:val="2"/>
  </w:num>
  <w:num w:numId="2" w16cid:durableId="101153671">
    <w:abstractNumId w:val="0"/>
  </w:num>
  <w:num w:numId="3" w16cid:durableId="909923384">
    <w:abstractNumId w:val="3"/>
  </w:num>
  <w:num w:numId="4" w16cid:durableId="528374005">
    <w:abstractNumId w:val="1"/>
  </w:num>
  <w:num w:numId="5" w16cid:durableId="1748768938">
    <w:abstractNumId w:val="5"/>
  </w:num>
  <w:num w:numId="6" w16cid:durableId="118032856">
    <w:abstractNumId w:val="4"/>
  </w:num>
  <w:num w:numId="7" w16cid:durableId="1508862899">
    <w:abstractNumId w:val="1"/>
  </w:num>
  <w:num w:numId="8" w16cid:durableId="936988051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B2"/>
    <w:rsid w:val="000C7249"/>
    <w:rsid w:val="000F578E"/>
    <w:rsid w:val="000F6E42"/>
    <w:rsid w:val="001C3185"/>
    <w:rsid w:val="00296E12"/>
    <w:rsid w:val="003150C6"/>
    <w:rsid w:val="003600A4"/>
    <w:rsid w:val="00551530"/>
    <w:rsid w:val="005842A9"/>
    <w:rsid w:val="00674F3F"/>
    <w:rsid w:val="0086015E"/>
    <w:rsid w:val="009C78B2"/>
    <w:rsid w:val="009D118F"/>
    <w:rsid w:val="00B71F93"/>
    <w:rsid w:val="00F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42CE"/>
  <w15:docId w15:val="{D2F7FB2C-AA8D-4514-BBC4-004FEF14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user"/>
    <w:uiPriority w:val="9"/>
    <w:qFormat/>
    <w:pPr>
      <w:keepNext/>
      <w:widowControl w:val="0"/>
      <w:jc w:val="center"/>
      <w:outlineLvl w:val="0"/>
    </w:pPr>
    <w:rPr>
      <w:rFonts w:ascii="Calibri" w:hAnsi="Calibri" w:cs="Times New Roman"/>
    </w:rPr>
  </w:style>
  <w:style w:type="paragraph" w:styleId="Titre2">
    <w:name w:val="heading 2"/>
    <w:basedOn w:val="Standard"/>
    <w:next w:val="Standarduser"/>
    <w:uiPriority w:val="9"/>
    <w:unhideWhenUsed/>
    <w:qFormat/>
    <w:pPr>
      <w:keepNext/>
      <w:widowControl w:val="0"/>
      <w:jc w:val="center"/>
      <w:outlineLvl w:val="1"/>
    </w:pPr>
    <w:rPr>
      <w:b/>
      <w:sz w:val="22"/>
    </w:rPr>
  </w:style>
  <w:style w:type="paragraph" w:styleId="Titre3">
    <w:name w:val="heading 3"/>
    <w:basedOn w:val="Standard"/>
    <w:next w:val="Standarduser"/>
    <w:uiPriority w:val="9"/>
    <w:unhideWhenUsed/>
    <w:qFormat/>
    <w:pPr>
      <w:keepNext/>
      <w:widowControl w:val="0"/>
      <w:suppressAutoHyphens w:val="0"/>
      <w:outlineLvl w:val="2"/>
    </w:pPr>
    <w:rPr>
      <w:b/>
      <w:bCs/>
      <w:sz w:val="22"/>
    </w:rPr>
  </w:style>
  <w:style w:type="paragraph" w:styleId="Titre4">
    <w:name w:val="heading 4"/>
    <w:basedOn w:val="Heading"/>
    <w:next w:val="Textbodyuser"/>
    <w:uiPriority w:val="9"/>
    <w:unhideWhenUsed/>
    <w:qFormat/>
    <w:pPr>
      <w:spacing w:before="120"/>
      <w:outlineLvl w:val="3"/>
    </w:pPr>
    <w:rPr>
      <w:rFonts w:eastAsia="NSimSun" w:cs="Arial Unicode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user"/>
    <w:pPr>
      <w:keepNext/>
      <w:widowControl w:val="0"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Standard"/>
    <w:pPr>
      <w:widowControl w:val="0"/>
    </w:pPr>
    <w:rPr>
      <w:rFonts w:cs="Mangal"/>
    </w:rPr>
  </w:style>
  <w:style w:type="paragraph" w:styleId="Lgende">
    <w:name w:val="caption"/>
    <w:basedOn w:val="Standarduser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widowControl w:val="0"/>
      <w:suppressLineNumbers/>
    </w:pPr>
    <w:rPr>
      <w:rFonts w:cs="Mangal"/>
    </w:rPr>
  </w:style>
  <w:style w:type="paragraph" w:customStyle="1" w:styleId="Standarduser">
    <w:name w:val="Standard (user)"/>
    <w:pPr>
      <w:widowControl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Commentaire">
    <w:name w:val="annotation text"/>
    <w:basedOn w:val="Standarduser"/>
  </w:style>
  <w:style w:type="paragraph" w:styleId="Textedebulles">
    <w:name w:val="Balloon Text"/>
    <w:basedOn w:val="Standarduser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user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user"/>
    <w:pPr>
      <w:suppressLineNumbers/>
      <w:tabs>
        <w:tab w:val="center" w:pos="4536"/>
        <w:tab w:val="right" w:pos="9072"/>
      </w:tabs>
    </w:pPr>
  </w:style>
  <w:style w:type="paragraph" w:styleId="Corpsdetexte2">
    <w:name w:val="Body Text 2"/>
    <w:basedOn w:val="Standarduser"/>
    <w:pPr>
      <w:jc w:val="center"/>
    </w:pPr>
    <w:rPr>
      <w:b/>
      <w:sz w:val="22"/>
      <w:szCs w:val="24"/>
    </w:rPr>
  </w:style>
  <w:style w:type="paragraph" w:styleId="Corpsdetexte3">
    <w:name w:val="Body Text 3"/>
    <w:basedOn w:val="Standarduser"/>
    <w:rPr>
      <w:sz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eastAsia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2z1">
    <w:name w:val="WW8Num2z1"/>
    <w:rPr>
      <w:rFonts w:ascii="OpenSymbol" w:eastAsia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Policepardfaut">
    <w:name w:val="WW-Police par défaut"/>
  </w:style>
  <w:style w:type="character" w:styleId="Marquedecommentaire">
    <w:name w:val="annotation reference"/>
    <w:basedOn w:val="WW-Policepardfaut"/>
    <w:rPr>
      <w:sz w:val="16"/>
    </w:rPr>
  </w:style>
  <w:style w:type="character" w:customStyle="1" w:styleId="Internetlinkuser">
    <w:name w:val="Internet link (user)"/>
    <w:basedOn w:val="WW-Policepardfaut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ListLabel3">
    <w:name w:val="ListLabel 3"/>
    <w:rPr>
      <w:rFonts w:eastAsia="OpenSymbol" w:cs="OpenSymbol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ListLabel8">
    <w:name w:val="ListLabel 8"/>
    <w:rPr>
      <w:rFonts w:eastAsia="OpenSymbol" w:cs="OpenSymbol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rFonts w:eastAsia="OpenSymbol" w:cs="OpenSymbol"/>
    </w:rPr>
  </w:style>
  <w:style w:type="character" w:customStyle="1" w:styleId="ListLabel11">
    <w:name w:val="ListLabel 11"/>
    <w:rPr>
      <w:rFonts w:ascii="Arial" w:eastAsia="Times New Roman" w:hAnsi="Arial" w:cs="Arial"/>
      <w:color w:val="0000FF"/>
      <w:kern w:val="0"/>
      <w:sz w:val="22"/>
      <w:szCs w:val="22"/>
      <w:u w:val="single"/>
      <w:lang w:eastAsia="fr-FR" w:bidi="ar-SA"/>
    </w:rPr>
  </w:style>
  <w:style w:type="character" w:customStyle="1" w:styleId="ListLabel12">
    <w:name w:val="ListLabel 12"/>
    <w:rPr>
      <w:rFonts w:ascii="Arial" w:eastAsia="Times New Roman" w:hAnsi="Arial" w:cs="Arial"/>
      <w:color w:val="0000FF"/>
      <w:kern w:val="0"/>
      <w:sz w:val="22"/>
      <w:szCs w:val="22"/>
      <w:u w:val="single"/>
      <w:lang w:bidi="ar-SA"/>
    </w:rPr>
  </w:style>
  <w:style w:type="character" w:customStyle="1" w:styleId="ListLabel13">
    <w:name w:val="ListLabel 13"/>
    <w:rPr>
      <w:sz w:val="22"/>
      <w:szCs w:val="22"/>
    </w:rPr>
  </w:style>
  <w:style w:type="character" w:customStyle="1" w:styleId="ListLabel14">
    <w:name w:val="ListLabel 14"/>
    <w:rPr>
      <w:rFonts w:ascii="Arial" w:eastAsia="Arial" w:hAnsi="Arial"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ascii="Arial" w:eastAsia="Times New Roman" w:hAnsi="Arial" w:cs="Arial"/>
      <w:color w:val="0000FF"/>
      <w:kern w:val="0"/>
      <w:sz w:val="20"/>
      <w:szCs w:val="20"/>
      <w:u w:val="single"/>
      <w:lang w:eastAsia="fr-FR" w:bidi="ar-SA"/>
    </w:rPr>
  </w:style>
  <w:style w:type="character" w:customStyle="1" w:styleId="ListLabel24">
    <w:name w:val="ListLabel 24"/>
    <w:rPr>
      <w:rFonts w:ascii="Arial" w:eastAsia="Times New Roman" w:hAnsi="Arial" w:cs="Arial"/>
      <w:color w:val="0000FF"/>
      <w:kern w:val="0"/>
      <w:sz w:val="20"/>
      <w:szCs w:val="20"/>
      <w:u w:val="single"/>
      <w:lang w:bidi="ar-SA"/>
    </w:rPr>
  </w:style>
  <w:style w:type="character" w:customStyle="1" w:styleId="ListLabel25">
    <w:name w:val="ListLabel 25"/>
    <w:rPr>
      <w:rFonts w:ascii="Arial" w:eastAsia="Arial" w:hAnsi="Arial" w:cs="Arial"/>
      <w:sz w:val="20"/>
      <w:szCs w:val="20"/>
    </w:rPr>
  </w:style>
  <w:style w:type="character" w:customStyle="1" w:styleId="ListLabel26">
    <w:name w:val="ListLabel 26"/>
    <w:rPr>
      <w:rFonts w:ascii="Arial" w:eastAsia="Arial" w:hAnsi="Arial"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Open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Open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ascii="Arial" w:eastAsia="Times New Roman" w:hAnsi="Arial" w:cs="Arial"/>
      <w:color w:val="0000FF"/>
      <w:kern w:val="0"/>
      <w:sz w:val="20"/>
      <w:szCs w:val="20"/>
      <w:u w:val="single"/>
      <w:lang w:eastAsia="fr-FR" w:bidi="ar-SA"/>
    </w:rPr>
  </w:style>
  <w:style w:type="character" w:customStyle="1" w:styleId="ListLabel36">
    <w:name w:val="ListLabel 36"/>
    <w:rPr>
      <w:rFonts w:ascii="Arial" w:eastAsia="Times New Roman" w:hAnsi="Arial" w:cs="Arial"/>
      <w:color w:val="0000FF"/>
      <w:kern w:val="0"/>
      <w:sz w:val="20"/>
      <w:szCs w:val="20"/>
      <w:u w:val="single"/>
      <w:lang w:bidi="ar-SA"/>
    </w:rPr>
  </w:style>
  <w:style w:type="character" w:customStyle="1" w:styleId="ListLabel37">
    <w:name w:val="ListLabel 37"/>
    <w:rPr>
      <w:sz w:val="20"/>
      <w:szCs w:val="20"/>
    </w:rPr>
  </w:style>
  <w:style w:type="character" w:customStyle="1" w:styleId="ListLabel38">
    <w:name w:val="ListLabel 38"/>
    <w:rPr>
      <w:rFonts w:ascii="Arial" w:eastAsia="Arial" w:hAnsi="Arial"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Open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ascii="Arial" w:eastAsia="Times New Roman" w:hAnsi="Arial" w:cs="Arial"/>
      <w:color w:val="0000FF"/>
      <w:kern w:val="0"/>
      <w:sz w:val="20"/>
      <w:szCs w:val="20"/>
      <w:u w:val="single"/>
      <w:lang w:eastAsia="fr-FR" w:bidi="ar-SA"/>
    </w:rPr>
  </w:style>
  <w:style w:type="character" w:customStyle="1" w:styleId="ListLabel48">
    <w:name w:val="ListLabel 48"/>
    <w:rPr>
      <w:rFonts w:ascii="Arial" w:eastAsia="Times New Roman" w:hAnsi="Arial" w:cs="Arial"/>
      <w:color w:val="0000FF"/>
      <w:kern w:val="0"/>
      <w:sz w:val="20"/>
      <w:szCs w:val="20"/>
      <w:u w:val="single"/>
      <w:lang w:bidi="ar-SA"/>
    </w:rPr>
  </w:style>
  <w:style w:type="character" w:customStyle="1" w:styleId="ListLabel49">
    <w:name w:val="ListLabel 49"/>
    <w:rPr>
      <w:sz w:val="20"/>
      <w:szCs w:val="20"/>
    </w:rPr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8Num1">
    <w:name w:val="WW8Num1"/>
    <w:basedOn w:val="Aucuneliste"/>
    <w:pPr>
      <w:numPr>
        <w:numId w:val="2"/>
      </w:numPr>
    </w:pPr>
  </w:style>
  <w:style w:type="numbering" w:customStyle="1" w:styleId="WW8Num2">
    <w:name w:val="WW8Num2"/>
    <w:basedOn w:val="Aucuneliste"/>
    <w:pPr>
      <w:numPr>
        <w:numId w:val="3"/>
      </w:numPr>
    </w:pPr>
  </w:style>
  <w:style w:type="numbering" w:customStyle="1" w:styleId="WWNum1">
    <w:name w:val="WWNum1"/>
    <w:basedOn w:val="Aucuneliste"/>
    <w:pPr>
      <w:numPr>
        <w:numId w:val="4"/>
      </w:numPr>
    </w:pPr>
  </w:style>
  <w:style w:type="numbering" w:customStyle="1" w:styleId="WWNum2">
    <w:name w:val="WWNum2"/>
    <w:basedOn w:val="Aucuneliste"/>
    <w:pPr>
      <w:numPr>
        <w:numId w:val="5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paragraph" w:styleId="NormalWeb">
    <w:name w:val="Normal (Web)"/>
    <w:basedOn w:val="Normal"/>
    <w:uiPriority w:val="99"/>
    <w:semiHidden/>
    <w:unhideWhenUsed/>
    <w:rsid w:val="00674F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character" w:styleId="Lienhypertexte">
    <w:name w:val="Hyperlink"/>
    <w:basedOn w:val="Policepardfaut"/>
    <w:uiPriority w:val="99"/>
    <w:unhideWhenUsed/>
    <w:rsid w:val="00674F3F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8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6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france.gouv.fr/affichCodeArticle.do?cidTexte=LEGITEXT000006072050&amp;idArticle=LEGIARTI000006904093&amp;dateTexte=&amp;categorieLien=cid" TargetMode="External"/><Relationship Id="rId13" Type="http://schemas.openxmlformats.org/officeDocument/2006/relationships/hyperlink" Target="https://www.legifrance.gouv.fr/affichCodeArticle.do?cidTexte=LEGITEXT000006071191&amp;idArticle=LEGIARTI000006525035&amp;dateTexte=&amp;categorieLien=ci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gifrance.gouv.fr/affichCodeArticle.do?cidTexte=LEGITEXT000006072050&amp;idArticle=LEGIARTI000006904090&amp;dateTexte=&amp;categorieLien=cid" TargetMode="External"/><Relationship Id="rId12" Type="http://schemas.openxmlformats.org/officeDocument/2006/relationships/hyperlink" Target="https://www.legifrance.gouv.fr/affichCodeArticle.do?cidTexte=LEGITEXT000006071191&amp;idArticle=LEGIARTI000006525133&amp;dateTexte=&amp;categorieLien=cid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egifrance.gouv.fr/affichCodeArticle.do?cidTexte=LEGITEXT000006071367&amp;idArticle=LEGIARTI000006586155&amp;dateTexte=&amp;categorieLien=ci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efectures-regions.gouv.fr/hauts-de-france/Documents-publications/Taxe-d-apprentissage/Taxe-d-apprentissage-dans-la-region-Hauts-de-France" TargetMode="External"/><Relationship Id="rId10" Type="http://schemas.openxmlformats.org/officeDocument/2006/relationships/hyperlink" Target="https://www.legifrance.gouv.fr/affichCodeArticle.do?cidTexte=LEGITEXT000006071191&amp;idArticle=LEGIARTI000006525009&amp;dateTexte=&amp;categorieLien=c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ifrance.gouv.fr/affichCodeArticle.do?cidTexte=LEGITEXT000006071367&amp;idArticle=LEGIARTI000006586169&amp;dateTexte=&amp;categorieLien=cid" TargetMode="External"/><Relationship Id="rId14" Type="http://schemas.openxmlformats.org/officeDocument/2006/relationships/hyperlink" Target="https://legifrance.gouv.fr/affichCodeArticle.do?cidTexte=LEGITEXT000006071307&amp;idArticle=LEGIARTI000047920532&amp;dateTexte=&amp;categorieLien=ci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1454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MONTAGNON-LION, Stephanie (DREETS-HDF)</dc:creator>
  <cp:lastModifiedBy>MONTAGNON-LION, Stephanie (DREETS-HDF)</cp:lastModifiedBy>
  <cp:revision>3</cp:revision>
  <dcterms:created xsi:type="dcterms:W3CDTF">2025-01-07T11:03:00Z</dcterms:created>
  <dcterms:modified xsi:type="dcterms:W3CDTF">2025-01-07T11:05:00Z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Ministères Chargés des Affaires Sociales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